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A07C9" w14:textId="125B3955" w:rsidR="00B63A30" w:rsidRPr="00EF283E" w:rsidRDefault="00883768" w:rsidP="003711B3">
      <w:pPr>
        <w:spacing w:after="120" w:line="240" w:lineRule="auto"/>
        <w:ind w:hanging="709"/>
        <w:jc w:val="center"/>
        <w:rPr>
          <w:rFonts w:ascii="Times New Roman" w:hAnsi="Times New Roman" w:cs="Times New Roman"/>
          <w:sz w:val="24"/>
          <w:szCs w:val="24"/>
        </w:rPr>
      </w:pPr>
      <w:r w:rsidRPr="00EF283E">
        <w:rPr>
          <w:rFonts w:ascii="Times New Roman" w:hAnsi="Times New Roman" w:cs="Times New Roman"/>
          <w:sz w:val="24"/>
          <w:szCs w:val="24"/>
        </w:rPr>
        <w:t>Vilniaus universiteto</w:t>
      </w:r>
    </w:p>
    <w:p w14:paraId="39899159" w14:textId="77777777" w:rsidR="00883768" w:rsidRPr="00EF283E" w:rsidRDefault="00883768" w:rsidP="003711B3">
      <w:pPr>
        <w:spacing w:after="120" w:line="240" w:lineRule="auto"/>
        <w:ind w:hanging="709"/>
        <w:jc w:val="center"/>
        <w:rPr>
          <w:rFonts w:ascii="Times New Roman" w:hAnsi="Times New Roman" w:cs="Times New Roman"/>
          <w:sz w:val="24"/>
          <w:szCs w:val="24"/>
        </w:rPr>
      </w:pPr>
      <w:r w:rsidRPr="00EF283E">
        <w:rPr>
          <w:rFonts w:ascii="Times New Roman" w:hAnsi="Times New Roman" w:cs="Times New Roman"/>
          <w:sz w:val="24"/>
          <w:szCs w:val="24"/>
        </w:rPr>
        <w:t>Filologijos fakulteto</w:t>
      </w:r>
    </w:p>
    <w:p w14:paraId="6D99C950" w14:textId="60854803" w:rsidR="00883768" w:rsidRPr="00EF283E" w:rsidRDefault="00353789" w:rsidP="003711B3">
      <w:pPr>
        <w:spacing w:after="120" w:line="240" w:lineRule="auto"/>
        <w:ind w:hanging="709"/>
        <w:jc w:val="center"/>
        <w:rPr>
          <w:rFonts w:ascii="Times New Roman" w:hAnsi="Times New Roman" w:cs="Times New Roman"/>
          <w:sz w:val="24"/>
          <w:szCs w:val="24"/>
        </w:rPr>
      </w:pPr>
      <w:r w:rsidRPr="00EF283E">
        <w:rPr>
          <w:rFonts w:ascii="Times New Roman" w:hAnsi="Times New Roman" w:cs="Times New Roman"/>
          <w:sz w:val="24"/>
          <w:szCs w:val="24"/>
        </w:rPr>
        <w:t>Literatūros, kultūros ir vertimo tyrimų institutas</w:t>
      </w:r>
    </w:p>
    <w:p w14:paraId="3FCCF4EE" w14:textId="77777777" w:rsidR="00926EA8" w:rsidRPr="00EF283E" w:rsidRDefault="00926EA8" w:rsidP="003711B3">
      <w:pPr>
        <w:spacing w:after="120" w:line="240" w:lineRule="auto"/>
        <w:ind w:hanging="709"/>
        <w:jc w:val="center"/>
        <w:rPr>
          <w:rFonts w:ascii="Times New Roman" w:hAnsi="Times New Roman" w:cs="Times New Roman"/>
          <w:sz w:val="24"/>
          <w:szCs w:val="24"/>
        </w:rPr>
      </w:pPr>
    </w:p>
    <w:p w14:paraId="34DD1379" w14:textId="5A8F6166" w:rsidR="00926EA8" w:rsidRPr="00EF283E" w:rsidRDefault="00353789" w:rsidP="003711B3">
      <w:pPr>
        <w:spacing w:after="120" w:line="240" w:lineRule="auto"/>
        <w:ind w:hanging="709"/>
        <w:jc w:val="center"/>
        <w:rPr>
          <w:rFonts w:ascii="Times New Roman" w:hAnsi="Times New Roman" w:cs="Times New Roman"/>
          <w:b/>
          <w:sz w:val="24"/>
          <w:szCs w:val="24"/>
        </w:rPr>
      </w:pPr>
      <w:r w:rsidRPr="00EF283E">
        <w:rPr>
          <w:rFonts w:ascii="Times New Roman" w:hAnsi="Times New Roman" w:cs="Times New Roman"/>
          <w:b/>
          <w:sz w:val="24"/>
          <w:szCs w:val="24"/>
        </w:rPr>
        <w:t>Studentų</w:t>
      </w:r>
      <w:r w:rsidR="00926EA8" w:rsidRPr="00EF283E">
        <w:rPr>
          <w:rFonts w:ascii="Times New Roman" w:hAnsi="Times New Roman" w:cs="Times New Roman"/>
          <w:b/>
          <w:sz w:val="24"/>
          <w:szCs w:val="24"/>
        </w:rPr>
        <w:t xml:space="preserve"> konferencija</w:t>
      </w:r>
    </w:p>
    <w:p w14:paraId="649314BC" w14:textId="1D044051" w:rsidR="0034066A" w:rsidRPr="00EF283E" w:rsidRDefault="00E75EB5" w:rsidP="003711B3">
      <w:pPr>
        <w:spacing w:after="120" w:line="240" w:lineRule="auto"/>
        <w:ind w:hanging="709"/>
        <w:jc w:val="center"/>
        <w:rPr>
          <w:rFonts w:ascii="Times New Roman" w:hAnsi="Times New Roman" w:cs="Times New Roman"/>
          <w:sz w:val="24"/>
          <w:szCs w:val="24"/>
        </w:rPr>
      </w:pPr>
      <w:r w:rsidRPr="00EF283E">
        <w:rPr>
          <w:rFonts w:ascii="Times New Roman" w:hAnsi="Times New Roman" w:cs="Times New Roman"/>
          <w:b/>
          <w:bCs/>
          <w:sz w:val="24"/>
          <w:szCs w:val="24"/>
        </w:rPr>
        <w:t>Pirmasis žvilgsnis: tarpdisciplininiai tyrimai</w:t>
      </w:r>
    </w:p>
    <w:p w14:paraId="062FB0C3" w14:textId="0BF55BBC" w:rsidR="00226A5A" w:rsidRPr="00EF283E" w:rsidRDefault="00CE33EE" w:rsidP="003711B3">
      <w:pPr>
        <w:spacing w:after="120" w:line="240" w:lineRule="auto"/>
        <w:ind w:hanging="709"/>
        <w:jc w:val="center"/>
        <w:rPr>
          <w:rFonts w:ascii="Times New Roman" w:hAnsi="Times New Roman" w:cs="Times New Roman"/>
          <w:b/>
          <w:sz w:val="24"/>
          <w:szCs w:val="24"/>
        </w:rPr>
      </w:pPr>
      <w:r w:rsidRPr="00EF283E">
        <w:rPr>
          <w:rFonts w:ascii="Times New Roman" w:hAnsi="Times New Roman" w:cs="Times New Roman"/>
          <w:b/>
          <w:sz w:val="24"/>
          <w:szCs w:val="24"/>
        </w:rPr>
        <w:t>20</w:t>
      </w:r>
      <w:r w:rsidR="000D3517" w:rsidRPr="00EF283E">
        <w:rPr>
          <w:rFonts w:ascii="Times New Roman" w:hAnsi="Times New Roman" w:cs="Times New Roman"/>
          <w:b/>
          <w:sz w:val="24"/>
          <w:szCs w:val="24"/>
        </w:rPr>
        <w:t>2</w:t>
      </w:r>
      <w:r w:rsidR="004B5F1C" w:rsidRPr="00EF283E">
        <w:rPr>
          <w:rFonts w:ascii="Times New Roman" w:hAnsi="Times New Roman" w:cs="Times New Roman"/>
          <w:b/>
          <w:sz w:val="24"/>
          <w:szCs w:val="24"/>
        </w:rPr>
        <w:t>1</w:t>
      </w:r>
      <w:r w:rsidRPr="00EF283E">
        <w:rPr>
          <w:rFonts w:ascii="Times New Roman" w:hAnsi="Times New Roman" w:cs="Times New Roman"/>
          <w:b/>
          <w:sz w:val="24"/>
          <w:szCs w:val="24"/>
        </w:rPr>
        <w:t xml:space="preserve"> m. gegužės </w:t>
      </w:r>
      <w:r w:rsidR="004B5F1C" w:rsidRPr="00EF283E">
        <w:rPr>
          <w:rFonts w:ascii="Times New Roman" w:hAnsi="Times New Roman" w:cs="Times New Roman"/>
          <w:b/>
          <w:sz w:val="24"/>
          <w:szCs w:val="24"/>
        </w:rPr>
        <w:t>4</w:t>
      </w:r>
      <w:r w:rsidR="0031699F" w:rsidRPr="00EF283E">
        <w:rPr>
          <w:rFonts w:ascii="Times New Roman" w:hAnsi="Times New Roman" w:cs="Times New Roman"/>
          <w:b/>
          <w:sz w:val="24"/>
          <w:szCs w:val="24"/>
        </w:rPr>
        <w:t xml:space="preserve"> d.</w:t>
      </w:r>
      <w:r w:rsidR="00AA4A8A" w:rsidRPr="00EF283E">
        <w:rPr>
          <w:rFonts w:ascii="Times New Roman" w:hAnsi="Times New Roman" w:cs="Times New Roman"/>
          <w:b/>
          <w:sz w:val="24"/>
          <w:szCs w:val="24"/>
        </w:rPr>
        <w:t>, MS Teams</w:t>
      </w:r>
    </w:p>
    <w:p w14:paraId="798BACE1" w14:textId="66D9A7EE" w:rsidR="003D102E" w:rsidRPr="00EF283E" w:rsidRDefault="003D102E" w:rsidP="003711B3">
      <w:pPr>
        <w:spacing w:after="120" w:line="240" w:lineRule="auto"/>
        <w:ind w:left="2592" w:firstLine="1296"/>
        <w:jc w:val="both"/>
        <w:rPr>
          <w:rFonts w:ascii="Times New Roman" w:hAnsi="Times New Roman" w:cs="Times New Roman"/>
          <w:sz w:val="24"/>
          <w:szCs w:val="24"/>
        </w:rPr>
      </w:pPr>
    </w:p>
    <w:tbl>
      <w:tblPr>
        <w:tblW w:w="10065" w:type="dxa"/>
        <w:tblInd w:w="-7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0"/>
        <w:gridCol w:w="9185"/>
      </w:tblGrid>
      <w:tr w:rsidR="00EF283E" w:rsidRPr="00EF283E" w14:paraId="455EBB31" w14:textId="77777777" w:rsidTr="00EF283E">
        <w:trPr>
          <w:trHeight w:val="306"/>
        </w:trPr>
        <w:tc>
          <w:tcPr>
            <w:tcW w:w="88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A4AB19A" w14:textId="77777777" w:rsidR="00EF283E" w:rsidRPr="00EF283E" w:rsidRDefault="00EF283E" w:rsidP="00EF283E">
            <w:pPr>
              <w:spacing w:after="12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sz w:val="24"/>
                <w:szCs w:val="24"/>
                <w:lang w:val="en-GB" w:eastAsia="en-GB"/>
              </w:rPr>
              <w:t>9.30</w:t>
            </w:r>
          </w:p>
        </w:tc>
        <w:tc>
          <w:tcPr>
            <w:tcW w:w="91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8C3F21" w14:textId="77777777" w:rsidR="00EF283E" w:rsidRPr="00EF283E" w:rsidRDefault="00EF283E" w:rsidP="00EF283E">
            <w:pPr>
              <w:spacing w:after="12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i/>
                <w:iCs/>
                <w:sz w:val="24"/>
                <w:szCs w:val="24"/>
                <w:lang w:val="en-GB" w:eastAsia="en-GB"/>
              </w:rPr>
              <w:t>Konferencijos atidarymas. Sveikinimo žodis</w:t>
            </w:r>
          </w:p>
        </w:tc>
      </w:tr>
      <w:tr w:rsidR="00EF283E" w:rsidRPr="00EF283E" w14:paraId="01C26543" w14:textId="77777777" w:rsidTr="00EF283E">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E401759" w14:textId="77777777" w:rsidR="00EF283E" w:rsidRPr="00EF283E" w:rsidRDefault="00EF283E" w:rsidP="00EF283E">
            <w:pPr>
              <w:spacing w:after="12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09.35</w:t>
            </w:r>
          </w:p>
        </w:tc>
        <w:tc>
          <w:tcPr>
            <w:tcW w:w="9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5BCC9549"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sz w:val="24"/>
                <w:szCs w:val="24"/>
                <w:lang w:val="en-GB" w:eastAsia="en-GB"/>
              </w:rPr>
              <w:t>Anastasija Andrejeva (Semiotika MA II kursas)</w:t>
            </w:r>
          </w:p>
          <w:p w14:paraId="5287F732"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i/>
                <w:iCs/>
                <w:sz w:val="24"/>
                <w:szCs w:val="24"/>
                <w:lang w:val="en-GB" w:eastAsia="en-GB"/>
              </w:rPr>
              <w:t>Įkvėptas autorius ir jo antrininkai Algirdo Juliaus Greimo literatūros kritikoje                   </w:t>
            </w:r>
          </w:p>
          <w:p w14:paraId="452325A9" w14:textId="77777777" w:rsidR="00EF283E" w:rsidRPr="00EF283E" w:rsidRDefault="00EF283E" w:rsidP="00EF283E">
            <w:pPr>
              <w:spacing w:after="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Pranešime pristatomo magistro baigiamajame darbe keliama problema – įkvėpto autoriaus ir kitų autoriaus tipų sąveika Algirdo Juliaus Greimo literatūros kritikoje. Darbe tiriamą tekstų korpusą sudaro 28 straipsniai. Pasirinktuose tekstuose atradus skirtingus autoriaus aktantinius vaidmenis, bus siekiama nustatyti autoriaus figūros reikšmę Greimo kūryboje.</w:t>
            </w:r>
          </w:p>
          <w:p w14:paraId="70689ED5" w14:textId="77777777" w:rsidR="00EF283E" w:rsidRPr="00EF283E" w:rsidRDefault="00EF283E" w:rsidP="00EF283E">
            <w:pPr>
              <w:spacing w:after="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Greimo santykiai su autoriaus figūra jo literatūros kritikoje yra ypatingi: autoriui dažnai atitenka pagrindinis vaidmuo net tuose straipsniuose, kur rašoma teksto recenzija. Su vienais autoriais, Greimas kuria intymius santykius, su kitais – išlaiko distanciją ir leidžia sau ironizuoti. Šmaikštus ir šiltas santykis su autoriumi niveliuojasi, kai Greimas pradeda formuluoti savo semiotikos projektą ir slepiasi už kritikos kaukės. Naujos postuluojamos vertės modifikuoja jo literatūrinę kritiką ir leidžia atrasti kitas autoriaus reikšmes.</w:t>
            </w:r>
          </w:p>
          <w:p w14:paraId="78A2346E" w14:textId="77777777" w:rsidR="00EF283E" w:rsidRPr="00EF283E" w:rsidRDefault="00EF283E" w:rsidP="00EF283E">
            <w:pPr>
              <w:spacing w:after="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Tiek ankstyvojoje, tiek vėlyvojoje eseistikoje, aiškiausiai pastebima įkvėpto autoriaus figūra. Tačiau tai – tik vienas iš galimų autoriaus funkcijų: skirtinguose tekstuose postuluojamas kitoks autorius, turintis savo raiškos būdus. Analizėje naujiems autoriaus tipams atrasti pasitelkiamas Greimo naratyvinė gramatikos modelis, kuriuo remiantis nustatomi skirtingų autorių teminiai ir aktantiniai vaidmenys bei jų sąveikos. Taigi, pristatyme bus pateiktos ne tik jau priimtos Greimo semiotikos sąvokos, bet ir bus naudojamos, rečiau pasitaikančios, tačiau taip pat svarbios apibrėžtys.        </w:t>
            </w:r>
          </w:p>
        </w:tc>
      </w:tr>
      <w:tr w:rsidR="00EF283E" w:rsidRPr="00EF283E" w14:paraId="22300802" w14:textId="77777777" w:rsidTr="00EF283E">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9B37437" w14:textId="77777777" w:rsidR="00EF283E" w:rsidRPr="00EF283E" w:rsidRDefault="00EF283E" w:rsidP="00EF283E">
            <w:pPr>
              <w:spacing w:after="12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10.00</w:t>
            </w:r>
          </w:p>
        </w:tc>
        <w:tc>
          <w:tcPr>
            <w:tcW w:w="9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47E104B"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sz w:val="24"/>
                <w:szCs w:val="24"/>
                <w:lang w:val="en-GB" w:eastAsia="en-GB"/>
              </w:rPr>
              <w:t>Rasa Stakauskaitė (Semiotika MA II kursas)</w:t>
            </w:r>
          </w:p>
          <w:p w14:paraId="4343BB1A"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i/>
                <w:iCs/>
                <w:sz w:val="24"/>
                <w:szCs w:val="24"/>
                <w:lang w:val="en-GB" w:eastAsia="en-GB"/>
              </w:rPr>
              <w:t>Broniaus Krivicko meilės poezija</w:t>
            </w:r>
          </w:p>
          <w:p w14:paraId="186DB495" w14:textId="77777777" w:rsidR="00EF283E" w:rsidRPr="00EF283E" w:rsidRDefault="00EF283E" w:rsidP="00EF283E">
            <w:pPr>
              <w:spacing w:after="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Bronius Krivickas – diplomuotas filologas, žemininkų kartos rašytojas ir antisovietinio pasipriešinimo dalyvis, </w:t>
            </w:r>
            <w:r w:rsidRPr="00EF283E">
              <w:rPr>
                <w:rFonts w:ascii="Times New Roman" w:eastAsia="Times New Roman" w:hAnsi="Times New Roman" w:cs="Times New Roman"/>
                <w:i/>
                <w:iCs/>
                <w:sz w:val="24"/>
                <w:szCs w:val="24"/>
                <w:lang w:val="en-GB" w:eastAsia="en-GB"/>
              </w:rPr>
              <w:t>poetas–partizanas, </w:t>
            </w:r>
            <w:r w:rsidRPr="00EF283E">
              <w:rPr>
                <w:rFonts w:ascii="Times New Roman" w:eastAsia="Times New Roman" w:hAnsi="Times New Roman" w:cs="Times New Roman"/>
                <w:sz w:val="24"/>
                <w:szCs w:val="24"/>
                <w:lang w:val="en-GB" w:eastAsia="en-GB"/>
              </w:rPr>
              <w:t>jo </w:t>
            </w:r>
            <w:r w:rsidRPr="00EF283E">
              <w:rPr>
                <w:rFonts w:ascii="Times New Roman" w:eastAsia="Times New Roman" w:hAnsi="Times New Roman" w:cs="Times New Roman"/>
                <w:i/>
                <w:iCs/>
                <w:sz w:val="24"/>
                <w:szCs w:val="24"/>
                <w:lang w:val="en-GB" w:eastAsia="en-GB"/>
              </w:rPr>
              <w:t>Raštų</w:t>
            </w:r>
            <w:r w:rsidRPr="00EF283E">
              <w:rPr>
                <w:rFonts w:ascii="Times New Roman" w:eastAsia="Times New Roman" w:hAnsi="Times New Roman" w:cs="Times New Roman"/>
                <w:sz w:val="24"/>
                <w:szCs w:val="24"/>
                <w:lang w:val="en-GB" w:eastAsia="en-GB"/>
              </w:rPr>
              <w:t> sudarytojo Virginijaus Gasiliūno žodžiais, </w:t>
            </w:r>
            <w:r w:rsidRPr="00EF283E">
              <w:rPr>
                <w:rFonts w:ascii="Times New Roman" w:eastAsia="Times New Roman" w:hAnsi="Times New Roman" w:cs="Times New Roman"/>
                <w:i/>
                <w:iCs/>
                <w:sz w:val="24"/>
                <w:szCs w:val="24"/>
                <w:lang w:val="en-GB" w:eastAsia="en-GB"/>
              </w:rPr>
              <w:t>laisvės kovai suteikęs balsą</w:t>
            </w:r>
            <w:r w:rsidRPr="00EF283E">
              <w:rPr>
                <w:rFonts w:ascii="Times New Roman" w:eastAsia="Times New Roman" w:hAnsi="Times New Roman" w:cs="Times New Roman"/>
                <w:sz w:val="24"/>
                <w:szCs w:val="24"/>
                <w:lang w:val="en-GB" w:eastAsia="en-GB"/>
              </w:rPr>
              <w:t>. Sudėtingomis pokario sąlygomis: partizanaujant, slapstantis ir gyvenant bunkeryje, susiduriant su artimų žmonių netektimis ir kasdienine akistata su mirtimi, sukurtoje Krivicko poezijoje atrandame ne tik egzistencinius apmąstymus ir partizanų kovos įamžinimą, jo eilėraščiuose taip pat skleidžiasi ir subjekto išgyvenimai, susiję su meilės patirtimis.</w:t>
            </w:r>
          </w:p>
          <w:p w14:paraId="43B56D54" w14:textId="77777777" w:rsidR="00EF283E" w:rsidRPr="00EF283E" w:rsidRDefault="00EF283E" w:rsidP="00EF283E">
            <w:pPr>
              <w:spacing w:after="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Aptardami Krivicko meilės poeziją, autoriai dažniausiai cituoja eilėraščius iš sonetų ciklo „Neužmirštuolei, žydinčiai nakty“, kuriuose moteris siejama su harmonijos atstatymu, išsivadavimu iš vienatvės, prasmės ir Dievo atradimu. Šiame pranešime aptarsime, kaip meilės tema skleidžiasi ankstyvesniuose Krivicko eilėraščiuose, sudėtuose į rinkinį „Žiaurusis Dievas“. </w:t>
            </w:r>
            <w:r w:rsidRPr="00EF283E">
              <w:rPr>
                <w:rFonts w:ascii="Times New Roman" w:eastAsia="Times New Roman" w:hAnsi="Times New Roman" w:cs="Times New Roman"/>
                <w:i/>
                <w:iCs/>
                <w:sz w:val="24"/>
                <w:szCs w:val="24"/>
                <w:lang w:val="en-GB" w:eastAsia="en-GB"/>
              </w:rPr>
              <w:t>Ji</w:t>
            </w:r>
            <w:r w:rsidRPr="00EF283E">
              <w:rPr>
                <w:rFonts w:ascii="Times New Roman" w:eastAsia="Times New Roman" w:hAnsi="Times New Roman" w:cs="Times New Roman"/>
                <w:sz w:val="24"/>
                <w:szCs w:val="24"/>
                <w:lang w:val="en-GB" w:eastAsia="en-GB"/>
              </w:rPr>
              <w:t xml:space="preserve"> pasirodo įvairiais pavidalais: kaip nuotaka, dalyvaujanti savo jaunystės dienų laidotuvėse, kaip tigrė, paviliojanti eilėraščio subjektą savo gracinga eisena, kaip partizaną slauganti mergaitė. Eilėraščiuose, kuriuose apmąstomi jaunystės patyrimai, moteris kelia skausmingus išgyvenimus, partizanui ji pasirodo kaip pagalbininkė, kenčiančiam – kaip išvaduotoja. Atkreipę dėmesį į tai, kokia tvarka Krivickas rinkinyje išdėliojo eilėraščius, </w:t>
            </w:r>
            <w:r w:rsidRPr="00EF283E">
              <w:rPr>
                <w:rFonts w:ascii="Times New Roman" w:eastAsia="Times New Roman" w:hAnsi="Times New Roman" w:cs="Times New Roman"/>
                <w:sz w:val="24"/>
                <w:szCs w:val="24"/>
                <w:lang w:val="en-GB" w:eastAsia="en-GB"/>
              </w:rPr>
              <w:lastRenderedPageBreak/>
              <w:t>galime fiksuoti santykio su </w:t>
            </w:r>
            <w:r w:rsidRPr="00EF283E">
              <w:rPr>
                <w:rFonts w:ascii="Times New Roman" w:eastAsia="Times New Roman" w:hAnsi="Times New Roman" w:cs="Times New Roman"/>
                <w:i/>
                <w:iCs/>
                <w:sz w:val="24"/>
                <w:szCs w:val="24"/>
                <w:lang w:val="en-GB" w:eastAsia="en-GB"/>
              </w:rPr>
              <w:t>Ja </w:t>
            </w:r>
            <w:r w:rsidRPr="00EF283E">
              <w:rPr>
                <w:rFonts w:ascii="Times New Roman" w:eastAsia="Times New Roman" w:hAnsi="Times New Roman" w:cs="Times New Roman"/>
                <w:sz w:val="24"/>
                <w:szCs w:val="24"/>
                <w:lang w:val="en-GB" w:eastAsia="en-GB"/>
              </w:rPr>
              <w:t> kaitą ir tos kaitos refleksiją, nuoseklų ėjimą link sonetų cikle išsiskleidusios tikrosios meilės patirties.</w:t>
            </w:r>
          </w:p>
        </w:tc>
      </w:tr>
      <w:tr w:rsidR="00EF283E" w:rsidRPr="00EF283E" w14:paraId="42EF5F5A" w14:textId="77777777" w:rsidTr="00EF283E">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7AFFC0F" w14:textId="77777777" w:rsidR="00EF283E" w:rsidRPr="00EF283E" w:rsidRDefault="00EF283E" w:rsidP="00EF283E">
            <w:pPr>
              <w:spacing w:after="12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lastRenderedPageBreak/>
              <w:t>10.25</w:t>
            </w:r>
          </w:p>
        </w:tc>
        <w:tc>
          <w:tcPr>
            <w:tcW w:w="9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565A24B"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sz w:val="24"/>
                <w:szCs w:val="24"/>
                <w:lang w:val="en-GB" w:eastAsia="en-GB"/>
              </w:rPr>
              <w:t>Karolina Sadauskaitė (Semiotika MA II kursas)</w:t>
            </w:r>
          </w:p>
          <w:p w14:paraId="470FDEBA"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i/>
                <w:iCs/>
                <w:sz w:val="24"/>
                <w:szCs w:val="24"/>
                <w:lang w:val="en-GB" w:eastAsia="en-GB"/>
              </w:rPr>
              <w:t>Giedrės Kazlauskaitės poetinis maskaradas: kaukės ir veidrodžio motyvai rinkinyje ,,Meninos"</w:t>
            </w:r>
          </w:p>
          <w:p w14:paraId="46E06A59" w14:textId="77777777" w:rsidR="00EF283E" w:rsidRPr="00EF283E" w:rsidRDefault="00EF283E" w:rsidP="00EF283E">
            <w:pPr>
              <w:spacing w:after="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Šio pranešimo tikslas – išanalizuoti vienos ryškiausių šiuolaikinės poezijos atstovių Giedrės Kazlauskaitės antrajame rinkinyje „Meninos“ (2014) atsiskleidžiančią kalbančiosios savikūrą, tapatybės formavimą, pasireiškiantį per kaukės ir veidrodiškumo motyvus.</w:t>
            </w:r>
          </w:p>
          <w:p w14:paraId="2A5CBDF0"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Maskaradas – renginys, kaukių balius, kurio metu apverčiama įprasta pasaulio tvarka, kuriama iliuzija, apgaulė nuslepiant savastį. Maskarado metu kaukė skirta ne tik nuslėpti, bet ir kurti naują vaidmenį. Giedrės Kazlauskaitės poetinis maskaradas apima rinkinyje „Meninos“ aptiktas kaukės bei veidrodiškumo temas, susijusias su eilėraščių kalbančiosios savos tapatybės konstravimu užsidedant kaukę, prisiimant skirtingus vaidmenis. Šiame pranešime aptariamas išsamių semiotinių analizių dėka atsiskleidęs kaukės izotopijos spektras – kaukė Kazlauskaitės tekstuose pasirodo kaip dedamas grimas, papuošalas, prisiimamas vaidmuo, kuriamas drabužis, poezijos metafora. Visame rinkinyje eilėraščių kalbančioji dėlioja sau kaukes, matuojasi pozas. Viena vertus, kalbančioji kaukę dėvi, kita vertus – ji pati ją kuria. Analizuojamuose eilėraščiuose išryškėja kūrėjo, poeto kaukės tema. Veidrodiškumo principas papildo kaukės motyvą kaip tapatybės formavimo instrumentas. Įvairūs atspindžiai bei veidrodžiai, pasirodantys eilėraščiuose, ryškina kalbančiosios poreikį stebėti save, susikurti sau pozą. Nepaisant to, atspindžio situacija eilėraščiuose dažnai neišvengiama, būtina. </w:t>
            </w:r>
          </w:p>
        </w:tc>
      </w:tr>
      <w:tr w:rsidR="00EF283E" w:rsidRPr="00EF283E" w14:paraId="2A8070AF" w14:textId="77777777" w:rsidTr="00EF283E">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29DE41" w14:textId="77777777" w:rsidR="00EF283E" w:rsidRPr="00EF283E" w:rsidRDefault="00EF283E" w:rsidP="00EF283E">
            <w:pPr>
              <w:spacing w:after="12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10.50</w:t>
            </w:r>
          </w:p>
        </w:tc>
        <w:tc>
          <w:tcPr>
            <w:tcW w:w="9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40464C"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sz w:val="24"/>
                <w:szCs w:val="24"/>
                <w:lang w:val="en-GB" w:eastAsia="en-GB"/>
              </w:rPr>
              <w:t>Augustė Mikulėnaitė (Intermedialios literatūros studijos MA II kursas)</w:t>
            </w:r>
          </w:p>
          <w:p w14:paraId="0DD58DA1"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i/>
                <w:iCs/>
                <w:sz w:val="24"/>
                <w:szCs w:val="24"/>
                <w:lang w:val="en-GB" w:eastAsia="en-GB"/>
              </w:rPr>
              <w:t>Erdvė vs vieta: transformuojanti patirtis kelionių literatūroje</w:t>
            </w:r>
          </w:p>
          <w:p w14:paraId="54A71FEC" w14:textId="77777777" w:rsidR="00EF283E" w:rsidRPr="00EF283E" w:rsidRDefault="00EF283E" w:rsidP="00EF283E">
            <w:pPr>
              <w:spacing w:after="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color w:val="000000"/>
                <w:sz w:val="24"/>
                <w:szCs w:val="24"/>
                <w:lang w:val="en-GB" w:eastAsia="en-GB"/>
              </w:rPr>
              <w:t>Kelionių literatūra – </w:t>
            </w:r>
            <w:r w:rsidRPr="00EF283E">
              <w:rPr>
                <w:rFonts w:ascii="Times New Roman" w:eastAsia="Times New Roman" w:hAnsi="Times New Roman" w:cs="Times New Roman"/>
                <w:color w:val="212121"/>
                <w:sz w:val="24"/>
                <w:szCs w:val="24"/>
                <w:lang w:val="en-GB" w:eastAsia="en-GB"/>
              </w:rPr>
              <w:t>egodiskurso</w:t>
            </w:r>
            <w:r w:rsidRPr="00EF283E">
              <w:rPr>
                <w:rFonts w:ascii="Times New Roman" w:eastAsia="Times New Roman" w:hAnsi="Times New Roman" w:cs="Times New Roman"/>
                <w:color w:val="000000"/>
                <w:sz w:val="24"/>
                <w:szCs w:val="24"/>
                <w:lang w:val="en-GB" w:eastAsia="en-GB"/>
              </w:rPr>
              <w:t> žanras, kurio pagrindiniais </w:t>
            </w:r>
            <w:r w:rsidRPr="00EF283E">
              <w:rPr>
                <w:rFonts w:ascii="Times New Roman" w:eastAsia="Times New Roman" w:hAnsi="Times New Roman" w:cs="Times New Roman"/>
                <w:color w:val="212121"/>
                <w:sz w:val="24"/>
                <w:szCs w:val="24"/>
                <w:lang w:val="en-GB" w:eastAsia="en-GB"/>
              </w:rPr>
              <w:t>sandais</w:t>
            </w:r>
            <w:r w:rsidRPr="00EF283E">
              <w:rPr>
                <w:rFonts w:ascii="Times New Roman" w:eastAsia="Times New Roman" w:hAnsi="Times New Roman" w:cs="Times New Roman"/>
                <w:color w:val="000000"/>
                <w:sz w:val="24"/>
                <w:szCs w:val="24"/>
                <w:lang w:val="en-GB" w:eastAsia="en-GB"/>
              </w:rPr>
              <w:t> tampa kelionės procesas, keliaujantis subjektas ir tekste konstruojama ir </w:t>
            </w:r>
            <w:r w:rsidRPr="00EF283E">
              <w:rPr>
                <w:rFonts w:ascii="Times New Roman" w:eastAsia="Times New Roman" w:hAnsi="Times New Roman" w:cs="Times New Roman"/>
                <w:color w:val="212121"/>
                <w:sz w:val="24"/>
                <w:szCs w:val="24"/>
                <w:lang w:val="en-GB" w:eastAsia="en-GB"/>
              </w:rPr>
              <w:t>įreikšminama</w:t>
            </w:r>
            <w:r w:rsidRPr="00EF283E">
              <w:rPr>
                <w:rFonts w:ascii="Times New Roman" w:eastAsia="Times New Roman" w:hAnsi="Times New Roman" w:cs="Times New Roman"/>
                <w:color w:val="000000"/>
                <w:sz w:val="24"/>
                <w:szCs w:val="24"/>
                <w:lang w:val="en-GB" w:eastAsia="en-GB"/>
              </w:rPr>
              <w:t> erdvė. Erdvės kūrimas tekste yra susijęs su keliautojo savastimi: daroma prielaida, jog objektyvi erdvė neegzistuoja, todėl jos konstravimas bei (at)kuriami maršrutai atskleidžia subjekto būdą matyti ir suvokti jį supančią aplinką. Tai susiję su </w:t>
            </w:r>
            <w:r w:rsidRPr="00EF283E">
              <w:rPr>
                <w:rFonts w:ascii="Times New Roman" w:eastAsia="Times New Roman" w:hAnsi="Times New Roman" w:cs="Times New Roman"/>
                <w:color w:val="212121"/>
                <w:sz w:val="24"/>
                <w:szCs w:val="24"/>
                <w:lang w:val="en-GB" w:eastAsia="en-GB"/>
              </w:rPr>
              <w:t>įreikšminimo</w:t>
            </w:r>
            <w:r w:rsidRPr="00EF283E">
              <w:rPr>
                <w:rFonts w:ascii="Times New Roman" w:eastAsia="Times New Roman" w:hAnsi="Times New Roman" w:cs="Times New Roman"/>
                <w:color w:val="000000"/>
                <w:sz w:val="24"/>
                <w:szCs w:val="24"/>
                <w:lang w:val="en-GB" w:eastAsia="en-GB"/>
              </w:rPr>
              <w:t> procesu, kuriame atsiskiria vietos ir erdvės sąvokos: „erdvė“, suvokiama kaip idėjų konstruktas, tampa „vieta“ per suvokėjo patirtį – subjektas „įsivietina“ erdvėje, ją patiria ir (</w:t>
            </w:r>
            <w:r w:rsidRPr="00EF283E">
              <w:rPr>
                <w:rFonts w:ascii="Times New Roman" w:eastAsia="Times New Roman" w:hAnsi="Times New Roman" w:cs="Times New Roman"/>
                <w:color w:val="212121"/>
                <w:sz w:val="24"/>
                <w:szCs w:val="24"/>
                <w:lang w:val="en-GB" w:eastAsia="en-GB"/>
              </w:rPr>
              <w:t>re)konstruoja</w:t>
            </w:r>
            <w:r w:rsidRPr="00EF283E">
              <w:rPr>
                <w:rFonts w:ascii="Times New Roman" w:eastAsia="Times New Roman" w:hAnsi="Times New Roman" w:cs="Times New Roman"/>
                <w:color w:val="000000"/>
                <w:sz w:val="24"/>
                <w:szCs w:val="24"/>
                <w:lang w:val="en-GB" w:eastAsia="en-GB"/>
              </w:rPr>
              <w:t> tekste. Tokiu būdu, skaitant kelionių užrašus, galima matyti, kaip patirtis transformuoja erdvę: ji abstrakčioje erdvėje leidžia keliautojui išskirti konkrečius taškus, kuriais remiantis jis konstruoja savo kelionės pasakojimą. Pranešime šias idėjas iliustruoja Antano Vaičiulaičio kelionių literatūroje (</w:t>
            </w:r>
            <w:r w:rsidRPr="00EF283E">
              <w:rPr>
                <w:rFonts w:ascii="Times New Roman" w:eastAsia="Times New Roman" w:hAnsi="Times New Roman" w:cs="Times New Roman"/>
                <w:i/>
                <w:iCs/>
                <w:color w:val="000000"/>
                <w:sz w:val="24"/>
                <w:szCs w:val="24"/>
                <w:lang w:val="en-GB" w:eastAsia="en-GB"/>
              </w:rPr>
              <w:t>Nuo Sirakūzų iki Šiaurės elnio </w:t>
            </w:r>
            <w:r w:rsidRPr="00EF283E">
              <w:rPr>
                <w:rFonts w:ascii="Times New Roman" w:eastAsia="Times New Roman" w:hAnsi="Times New Roman" w:cs="Times New Roman"/>
                <w:color w:val="000000"/>
                <w:sz w:val="24"/>
                <w:szCs w:val="24"/>
                <w:lang w:val="en-GB" w:eastAsia="en-GB"/>
              </w:rPr>
              <w:t>ir </w:t>
            </w:r>
            <w:r w:rsidRPr="00EF283E">
              <w:rPr>
                <w:rFonts w:ascii="Times New Roman" w:eastAsia="Times New Roman" w:hAnsi="Times New Roman" w:cs="Times New Roman"/>
                <w:i/>
                <w:iCs/>
                <w:color w:val="000000"/>
                <w:sz w:val="24"/>
                <w:szCs w:val="24"/>
                <w:lang w:val="en-GB" w:eastAsia="en-GB"/>
              </w:rPr>
              <w:t>Italijos vaizduose</w:t>
            </w:r>
            <w:r w:rsidRPr="00EF283E">
              <w:rPr>
                <w:rFonts w:ascii="Times New Roman" w:eastAsia="Times New Roman" w:hAnsi="Times New Roman" w:cs="Times New Roman"/>
                <w:color w:val="000000"/>
                <w:sz w:val="24"/>
                <w:szCs w:val="24"/>
                <w:lang w:val="en-GB" w:eastAsia="en-GB"/>
              </w:rPr>
              <w:t>) randamos subjekto ir erdvės ryšys ir jungtys, atsispindinčios tekste ir verčiančios skaitytoją pamatyti, kaip subjektas suvokia erdvę paversdamas ją sau artima vieta.</w:t>
            </w:r>
          </w:p>
        </w:tc>
      </w:tr>
      <w:tr w:rsidR="00EF283E" w:rsidRPr="00EF283E" w14:paraId="5E80E371" w14:textId="77777777" w:rsidTr="00EF283E">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6FBC26" w14:textId="77777777" w:rsidR="00EF283E" w:rsidRPr="00EF283E" w:rsidRDefault="00EF283E" w:rsidP="00EF283E">
            <w:pPr>
              <w:spacing w:after="12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11.15</w:t>
            </w:r>
          </w:p>
        </w:tc>
        <w:tc>
          <w:tcPr>
            <w:tcW w:w="9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91B7BA"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sz w:val="24"/>
                <w:szCs w:val="24"/>
                <w:lang w:val="en-GB" w:eastAsia="en-GB"/>
              </w:rPr>
              <w:t>Dovilė Alminauskienė (Vertimas MA II kursas)</w:t>
            </w:r>
          </w:p>
          <w:p w14:paraId="42421DB5"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i/>
                <w:iCs/>
                <w:sz w:val="24"/>
                <w:szCs w:val="24"/>
                <w:lang w:val="en-GB" w:eastAsia="en-GB"/>
              </w:rPr>
              <w:t>Metaphorical language in popular science literature and its translation strategies</w:t>
            </w:r>
          </w:p>
          <w:p w14:paraId="7D7A7900" w14:textId="77777777" w:rsidR="00EF283E" w:rsidRPr="00EF283E" w:rsidRDefault="00EF283E" w:rsidP="00EF283E">
            <w:pPr>
              <w:spacing w:after="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 xml:space="preserve">There are a lot of problems that an author of a popular science text can face with regards to metaphor usage. Similarly, a translator of such text can face the same issues when translating them. This spawns from the fact that popular science genre utilizes metaphorical language for teaching purposes rather than rhetorical ones. Due to this, a lot of aspects have to be considered in terms of consistency, accuracy and relevance. Keeping this in mind, the present paper attempts to analyse the metaphorical expressions used by the author and the translation choices made by the translator in the popular science book “Physics of the Impossible” written by Micho Kaku. By investigating the intentions of the author and the resulting translations, a few suggestions are made on how to improve certain translation instances. The results of the analysis suggest that depending on the type and purpose of the metaphor, certain translation strategies are better employed. Extended metaphors that have the purpose of explaining a subject should retain their consistency across the text as much as possible, meanwhile the </w:t>
            </w:r>
            <w:r w:rsidRPr="00EF283E">
              <w:rPr>
                <w:rFonts w:ascii="Times New Roman" w:eastAsia="Times New Roman" w:hAnsi="Times New Roman" w:cs="Times New Roman"/>
                <w:sz w:val="24"/>
                <w:szCs w:val="24"/>
                <w:lang w:val="en-GB" w:eastAsia="en-GB"/>
              </w:rPr>
              <w:lastRenderedPageBreak/>
              <w:t>novel single-use metaphors are more flexible and can be independently changed according to the will of the translator.</w:t>
            </w:r>
          </w:p>
        </w:tc>
      </w:tr>
      <w:tr w:rsidR="00EF283E" w:rsidRPr="00EF283E" w14:paraId="47053957" w14:textId="77777777" w:rsidTr="00EF283E">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1A25C5E" w14:textId="77777777" w:rsidR="00EF283E" w:rsidRPr="00EF283E" w:rsidRDefault="00EF283E" w:rsidP="00EF283E">
            <w:pPr>
              <w:spacing w:after="12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sz w:val="24"/>
                <w:szCs w:val="24"/>
                <w:lang w:val="en-GB" w:eastAsia="en-GB"/>
              </w:rPr>
              <w:lastRenderedPageBreak/>
              <w:t>11.40</w:t>
            </w:r>
          </w:p>
        </w:tc>
        <w:tc>
          <w:tcPr>
            <w:tcW w:w="9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CBE2E5C" w14:textId="77777777" w:rsidR="00EF283E" w:rsidRPr="00EF283E" w:rsidRDefault="00EF283E" w:rsidP="00EF283E">
            <w:pPr>
              <w:spacing w:after="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sz w:val="24"/>
                <w:szCs w:val="24"/>
                <w:lang w:val="en-GB" w:eastAsia="en-GB"/>
              </w:rPr>
              <w:t>Pertrauka (30 min.)</w:t>
            </w:r>
          </w:p>
        </w:tc>
      </w:tr>
      <w:tr w:rsidR="00EF283E" w:rsidRPr="00EF283E" w14:paraId="3F4135A1" w14:textId="77777777" w:rsidTr="00EF283E">
        <w:trPr>
          <w:trHeight w:val="60"/>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E75A81B" w14:textId="77777777" w:rsidR="00EF283E" w:rsidRPr="00EF283E" w:rsidRDefault="00EF283E" w:rsidP="00EF283E">
            <w:pPr>
              <w:spacing w:after="12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12.10</w:t>
            </w:r>
          </w:p>
        </w:tc>
        <w:tc>
          <w:tcPr>
            <w:tcW w:w="9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2BEE40E"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sz w:val="24"/>
                <w:szCs w:val="24"/>
                <w:lang w:val="en-GB" w:eastAsia="en-GB"/>
              </w:rPr>
              <w:t>Aušra Noreikaitė (Vertimas BA IV kursas)</w:t>
            </w:r>
          </w:p>
          <w:p w14:paraId="203FDB88"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i/>
                <w:iCs/>
                <w:sz w:val="24"/>
                <w:szCs w:val="24"/>
                <w:lang w:val="en-GB" w:eastAsia="en-GB"/>
              </w:rPr>
              <w:t>Translation of musical allusions from English into Lithuanian in James Joyce’s novel “Ulysses“</w:t>
            </w:r>
          </w:p>
          <w:p w14:paraId="4CD5C05B" w14:textId="77777777" w:rsidR="00EF283E" w:rsidRPr="00EF283E" w:rsidRDefault="00EF283E" w:rsidP="00EF283E">
            <w:pPr>
              <w:spacing w:after="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This study analyses the translation strategies for musical allusions from English into Lithuanian and how they affect the reader’s understanding of James Joyce’s novel “Ulysses”. The study focuses on the translation by J. Brazaitis and S. Repečka (the 1</w:t>
            </w:r>
            <w:r w:rsidRPr="00EF283E">
              <w:rPr>
                <w:rFonts w:ascii="Times New Roman" w:eastAsia="Times New Roman" w:hAnsi="Times New Roman" w:cs="Times New Roman"/>
                <w:sz w:val="24"/>
                <w:szCs w:val="24"/>
                <w:vertAlign w:val="superscript"/>
                <w:lang w:val="en-GB" w:eastAsia="en-GB"/>
              </w:rPr>
              <w:t>st</w:t>
            </w:r>
            <w:r w:rsidRPr="00EF283E">
              <w:rPr>
                <w:rFonts w:ascii="Times New Roman" w:eastAsia="Times New Roman" w:hAnsi="Times New Roman" w:cs="Times New Roman"/>
                <w:sz w:val="24"/>
                <w:szCs w:val="24"/>
                <w:lang w:val="en-GB" w:eastAsia="en-GB"/>
              </w:rPr>
              <w:t> and 2</w:t>
            </w:r>
            <w:r w:rsidRPr="00EF283E">
              <w:rPr>
                <w:rFonts w:ascii="Times New Roman" w:eastAsia="Times New Roman" w:hAnsi="Times New Roman" w:cs="Times New Roman"/>
                <w:sz w:val="24"/>
                <w:szCs w:val="24"/>
                <w:vertAlign w:val="superscript"/>
                <w:lang w:val="en-GB" w:eastAsia="en-GB"/>
              </w:rPr>
              <w:t>nd</w:t>
            </w:r>
            <w:r w:rsidRPr="00EF283E">
              <w:rPr>
                <w:rFonts w:ascii="Times New Roman" w:eastAsia="Times New Roman" w:hAnsi="Times New Roman" w:cs="Times New Roman"/>
                <w:sz w:val="24"/>
                <w:szCs w:val="24"/>
                <w:lang w:val="en-GB" w:eastAsia="en-GB"/>
              </w:rPr>
              <w:t> parts of the novel published in 2003 and 2005 respectively), although there are a few examples from Tomas Venclova’s translation of the novel in 1968. Due to the complexity and the scope of the novel, only four chapters (two of them translated by Tomas Venclova) are analysed</w:t>
            </w:r>
            <w:r w:rsidRPr="00EF283E">
              <w:rPr>
                <w:rFonts w:ascii="Times New Roman" w:eastAsia="Times New Roman" w:hAnsi="Times New Roman" w:cs="Times New Roman"/>
                <w:color w:val="000000"/>
                <w:sz w:val="24"/>
                <w:szCs w:val="24"/>
                <w:lang w:val="en-GB" w:eastAsia="en-GB"/>
              </w:rPr>
              <w:t>. The study reveals how many musical allusions are present in the selected chapters, referring to Zack Bowen’s “</w:t>
            </w:r>
            <w:r w:rsidRPr="00EF283E">
              <w:rPr>
                <w:rFonts w:ascii="Times New Roman" w:eastAsia="Times New Roman" w:hAnsi="Times New Roman" w:cs="Times New Roman"/>
                <w:sz w:val="24"/>
                <w:szCs w:val="24"/>
                <w:lang w:val="en-GB" w:eastAsia="en-GB"/>
              </w:rPr>
              <w:t>Musical Allusions in the Works of James Joyce” (1974)</w:t>
            </w:r>
            <w:r w:rsidRPr="00EF283E">
              <w:rPr>
                <w:rFonts w:ascii="Times New Roman" w:eastAsia="Times New Roman" w:hAnsi="Times New Roman" w:cs="Times New Roman"/>
                <w:color w:val="000000"/>
                <w:sz w:val="24"/>
                <w:szCs w:val="24"/>
                <w:lang w:val="en-GB" w:eastAsia="en-GB"/>
              </w:rPr>
              <w:t>. Using qualitative research method, it is assessed what translation strategies were used and what impact do these translations have on the Lithuanian reader. In the four chapters, there were 180 key-phrase and 53 proper name allusions. The translators mostly chose to translate word for word, but occasionally used footnotes and marking in order to bring the Lithuanian reader closer to the English text and the Irish culture.</w:t>
            </w:r>
          </w:p>
        </w:tc>
      </w:tr>
      <w:tr w:rsidR="00EF283E" w:rsidRPr="00EF283E" w14:paraId="20E5F5AE" w14:textId="77777777" w:rsidTr="00EF283E">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3B341C5" w14:textId="77777777" w:rsidR="00EF283E" w:rsidRPr="00EF283E" w:rsidRDefault="00EF283E" w:rsidP="00EF283E">
            <w:pPr>
              <w:spacing w:after="12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12.35</w:t>
            </w:r>
          </w:p>
        </w:tc>
        <w:tc>
          <w:tcPr>
            <w:tcW w:w="9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EF0C11"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sz w:val="24"/>
                <w:szCs w:val="24"/>
                <w:lang w:val="en-GB" w:eastAsia="en-GB"/>
              </w:rPr>
              <w:t>Kotryna Kivilienė (Vertimas MA II kursas)</w:t>
            </w:r>
          </w:p>
          <w:p w14:paraId="43AEB86D"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i/>
                <w:iCs/>
                <w:sz w:val="24"/>
                <w:szCs w:val="24"/>
                <w:lang w:val="en-GB" w:eastAsia="en-GB"/>
              </w:rPr>
              <w:t>Vulgar Language Translation: A Comparative Analysis of Charles Bukowski's Novel “Women” in English, Lithuanian and Russian</w:t>
            </w:r>
          </w:p>
        </w:tc>
      </w:tr>
      <w:tr w:rsidR="00EF283E" w:rsidRPr="00EF283E" w14:paraId="373B26DE" w14:textId="77777777" w:rsidTr="00EF283E">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10EE403" w14:textId="77777777" w:rsidR="00EF283E" w:rsidRPr="00EF283E" w:rsidRDefault="00EF283E" w:rsidP="00EF283E">
            <w:pPr>
              <w:spacing w:after="12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13.00</w:t>
            </w:r>
          </w:p>
        </w:tc>
        <w:tc>
          <w:tcPr>
            <w:tcW w:w="9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4E0BBA"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sz w:val="24"/>
                <w:szCs w:val="24"/>
                <w:lang w:val="en-GB" w:eastAsia="en-GB"/>
              </w:rPr>
              <w:t>Karolina Levanaitė (Vertimas MA II kursas)</w:t>
            </w:r>
          </w:p>
          <w:p w14:paraId="0424A0BC"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i/>
                <w:iCs/>
                <w:sz w:val="24"/>
                <w:szCs w:val="24"/>
                <w:lang w:val="en-GB" w:eastAsia="en-GB"/>
              </w:rPr>
              <w:t>Postredagavimo kompetencijų ugdymas rengiant vertėjus Lietuvoje</w:t>
            </w:r>
          </w:p>
          <w:p w14:paraId="0C370EB0" w14:textId="77777777" w:rsidR="00EF283E" w:rsidRPr="00EF283E" w:rsidRDefault="00EF283E" w:rsidP="00EF283E">
            <w:pPr>
              <w:spacing w:after="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Pranešime pristatoma postredagavimo kompetencijų mokymo Lietuvoje tema, kurios aktualumas ypač išaugęs pastaraisiais metais populiarėjant neuroniniam mašininiam vertimui. Pasaulinėje vertimo paslaugų rinkoje kasmet sparčiai auga įmonių ir organizacijų poreikis lokalizuoti savo publikuojamą turinį, taigi, kinta ir rinkos poreikiai bei su vertimo paslaugų greičiu, apimtimi ir kaina susiję lūkesčiai, keliami vertimo paslaugų teikėjams bei vertėjams. Mašininio vertimo programomis automatiškai išverstų tekstų postredagavimas tampa vis aktualesne vertimo paslauga, o tai atveria ne tik naujus sprendimo būdus minėtiems iššūkiams įveikti, bet kelia ir daug naujų teorinių bei praktinių vertėjų rengimo klausimų. Ar automatiškai išverstus tekstus gali postredaguoti tiesiog patyrę vertėjai? Kokios kompetencijos ir įgūdžiai reikalingi norint postredaguoti greitai ir produktyviai? Kaip keičiasi požiūris į šiandienos vertėjo profesiją? Pranešime trumpai apžvelgiama kitų Europos šalių universitetų geroji postredagavimo kompetencijų ugdymo praktika, pristatomi šių metų sausio–kovo mėn. atlikto postredagavimo paslaugų Lietuvos vertimo rinkoje tyrimo duomenys bei esminės įžvalgos. Tyrimo apklausose dalyvavo Lietuvos vertimo įmonės ir biurai, taip pat savarankiškai dirbantys vertėjai bei eskpertų grupė, su kuriais nagrinėti tokie mašininio vertimo aspektai kaip vertėjų požiūris į naujausias vertimo technologijas, vertimo procesui keliami mašininio vertimo iššūkiai, būtinosios postredagavimo kompetencijos ir jų įtraukimas į vertėjų ugdymo procesą.</w:t>
            </w:r>
          </w:p>
        </w:tc>
      </w:tr>
      <w:tr w:rsidR="00EF283E" w:rsidRPr="00EF283E" w14:paraId="7631098F" w14:textId="77777777" w:rsidTr="00EF283E">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34EDD93" w14:textId="77777777" w:rsidR="00EF283E" w:rsidRPr="00EF283E" w:rsidRDefault="00EF283E" w:rsidP="00EF283E">
            <w:pPr>
              <w:spacing w:after="12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13.25</w:t>
            </w:r>
          </w:p>
        </w:tc>
        <w:tc>
          <w:tcPr>
            <w:tcW w:w="9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9742D2"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sz w:val="24"/>
                <w:szCs w:val="24"/>
                <w:lang w:val="en-GB" w:eastAsia="en-GB"/>
              </w:rPr>
              <w:t>Natalija Stankevič (Vertimas MA II kursas)</w:t>
            </w:r>
          </w:p>
          <w:p w14:paraId="4CEB33DA"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i/>
                <w:iCs/>
                <w:sz w:val="24"/>
                <w:szCs w:val="24"/>
                <w:lang w:val="en-GB" w:eastAsia="en-GB"/>
              </w:rPr>
              <w:t>Lietuvių gestų kalbos vertėjų darbas tiesioginiame eteryje įprastomis ir ekstremaliomis sąlygomis per COVID-19 pandemiją</w:t>
            </w:r>
          </w:p>
        </w:tc>
      </w:tr>
      <w:tr w:rsidR="00EF283E" w:rsidRPr="00EF283E" w14:paraId="26059766" w14:textId="77777777" w:rsidTr="00EF283E">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248AB35" w14:textId="77777777" w:rsidR="00EF283E" w:rsidRPr="00EF283E" w:rsidRDefault="00EF283E" w:rsidP="00EF283E">
            <w:pPr>
              <w:spacing w:after="12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13.50</w:t>
            </w:r>
          </w:p>
        </w:tc>
        <w:tc>
          <w:tcPr>
            <w:tcW w:w="9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DCFEA0"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sz w:val="24"/>
                <w:szCs w:val="24"/>
                <w:lang w:val="en-GB" w:eastAsia="en-GB"/>
              </w:rPr>
              <w:t>Evelina Atminytė (Semiotika MA II kursas) </w:t>
            </w:r>
          </w:p>
          <w:p w14:paraId="612108F4" w14:textId="77777777" w:rsidR="00EF283E" w:rsidRPr="00EF283E" w:rsidRDefault="00EF283E" w:rsidP="00EF283E">
            <w:pPr>
              <w:spacing w:after="0" w:line="270" w:lineRule="atLeast"/>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i/>
                <w:iCs/>
                <w:sz w:val="24"/>
                <w:szCs w:val="24"/>
                <w:lang w:val="en-GB" w:eastAsia="en-GB"/>
              </w:rPr>
              <w:t>„Su Naujaisiais metais“: kas sveikina sovietmečio naujametiniuose atvirukuose?</w:t>
            </w:r>
          </w:p>
          <w:p w14:paraId="4B6167C2" w14:textId="77777777" w:rsidR="00EF283E" w:rsidRPr="00EF283E" w:rsidRDefault="00EF283E" w:rsidP="00EF283E">
            <w:pPr>
              <w:spacing w:after="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 xml:space="preserve">Sovietmečio Lietuvos naujametiniam atvirukui būdingas standartizuotas paruošto sveikinimo tekstas. Laikotarpyje nuo 1950-ųjų pabaigos iki pat nepriklausomybės atkūrimo šalia atvaizdo skaitome tuos pačius užrašus: “Su Naujaisiais metais” bei “Laimingų Naujųjų metų”. Tyrimo </w:t>
            </w:r>
            <w:r w:rsidRPr="00EF283E">
              <w:rPr>
                <w:rFonts w:ascii="Times New Roman" w:eastAsia="Times New Roman" w:hAnsi="Times New Roman" w:cs="Times New Roman"/>
                <w:sz w:val="24"/>
                <w:szCs w:val="24"/>
                <w:lang w:val="en-GB" w:eastAsia="en-GB"/>
              </w:rPr>
              <w:lastRenderedPageBreak/>
              <w:t>metu, nagrinėjant atviruko averso (t. y. priekinės pusės) diskursų tvarką bei analizuojant paruošto sveikinimo teksto turinį ir grafinę raišką, siekiama atsakyti į klausimus: kokia yra kalbinio diskurso funkcija bei kokiai sakymo instancijai jis priklauso?</w:t>
            </w:r>
          </w:p>
          <w:p w14:paraId="72D665A0" w14:textId="77777777" w:rsidR="00EF283E" w:rsidRPr="00EF283E" w:rsidRDefault="00EF283E" w:rsidP="00EF283E">
            <w:pPr>
              <w:spacing w:after="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sz w:val="24"/>
                <w:szCs w:val="24"/>
                <w:lang w:val="en-GB" w:eastAsia="en-GB"/>
              </w:rPr>
              <w:t>Paruoštas sveikinimas komentuoja bei nukreipia vizualinių elementų kuriamą prasmę, o pati pasakymo formuluotė implikuoja performatyvų veikimą. Tačiau, laikantis prielaidos, kad performatyviai funkcijai realizuoti būtina diskursinė situacija, kuri, savo ruožtu, numato sakytoją bei sakymo adresatą, atviruke pateikiamo sveikinimo atveju nėra aišku, kas sveikina - nuasmenintas, subjektyvumo žymių neturintis sveikinimas nekuria galimybių įvardyti sveikintojo. Keliama hipotezė, kad sveikinimo teksto pajungimas tam tikrai sakymo instancijai reguliuojamas averso elementų tvarkos. Priklausomai nuo kalbinio diskurso grafinės raiškos (pvz. kursyvas ar spausdintos raidės) bei jo pozicinio išsidėstymo kitų elementų atžvilgiu (pvz. po įrėmintu atvaizdu arba integruotas į jį), sveikinimas gali būti priskirtas skirtingiems sakytojams - nuo dailininko iki Naujųjų metų šventės veikėjų.</w:t>
            </w:r>
          </w:p>
        </w:tc>
      </w:tr>
      <w:tr w:rsidR="00EF283E" w:rsidRPr="00EF283E" w14:paraId="295A4833" w14:textId="77777777" w:rsidTr="00EF283E">
        <w:trPr>
          <w:trHeight w:val="617"/>
        </w:trPr>
        <w:tc>
          <w:tcPr>
            <w:tcW w:w="88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F8DE9AA" w14:textId="77777777" w:rsidR="00EF283E" w:rsidRPr="00EF283E" w:rsidRDefault="00EF283E" w:rsidP="00EF283E">
            <w:pPr>
              <w:spacing w:before="120" w:after="12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sz w:val="24"/>
                <w:szCs w:val="24"/>
                <w:lang w:val="en-GB" w:eastAsia="en-GB"/>
              </w:rPr>
              <w:lastRenderedPageBreak/>
              <w:t>14.15</w:t>
            </w:r>
          </w:p>
        </w:tc>
        <w:tc>
          <w:tcPr>
            <w:tcW w:w="918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249EEC8" w14:textId="77777777" w:rsidR="00EF283E" w:rsidRPr="00EF283E" w:rsidRDefault="00EF283E" w:rsidP="00EF283E">
            <w:pPr>
              <w:spacing w:before="120" w:after="120" w:line="240" w:lineRule="auto"/>
              <w:jc w:val="both"/>
              <w:rPr>
                <w:rFonts w:ascii="Times New Roman" w:eastAsia="Times New Roman" w:hAnsi="Times New Roman" w:cs="Times New Roman"/>
                <w:sz w:val="24"/>
                <w:szCs w:val="24"/>
                <w:lang w:val="en-GB" w:eastAsia="en-GB"/>
              </w:rPr>
            </w:pPr>
            <w:r w:rsidRPr="00EF283E">
              <w:rPr>
                <w:rFonts w:ascii="Times New Roman" w:eastAsia="Times New Roman" w:hAnsi="Times New Roman" w:cs="Times New Roman"/>
                <w:b/>
                <w:bCs/>
                <w:i/>
                <w:iCs/>
                <w:sz w:val="24"/>
                <w:szCs w:val="24"/>
                <w:lang w:val="en-GB" w:eastAsia="en-GB"/>
              </w:rPr>
              <w:t>Konferencijos uždarymas</w:t>
            </w:r>
          </w:p>
        </w:tc>
      </w:tr>
    </w:tbl>
    <w:p w14:paraId="07908254" w14:textId="5B8BCB6F" w:rsidR="00EF283E" w:rsidRPr="00EF283E" w:rsidRDefault="00EF283E" w:rsidP="00EF283E">
      <w:pPr>
        <w:shd w:val="clear" w:color="auto" w:fill="04202C"/>
        <w:spacing w:after="0" w:line="159" w:lineRule="atLeast"/>
        <w:rPr>
          <w:rFonts w:ascii="Times New Roman" w:eastAsia="Times New Roman" w:hAnsi="Times New Roman" w:cs="Times New Roman"/>
          <w:color w:val="606060"/>
          <w:sz w:val="24"/>
          <w:szCs w:val="24"/>
          <w:lang w:val="en-GB" w:eastAsia="en-GB"/>
        </w:rPr>
      </w:pPr>
    </w:p>
    <w:sectPr w:rsidR="00EF283E" w:rsidRPr="00EF283E" w:rsidSect="00EF283E">
      <w:pgSz w:w="11906" w:h="16838"/>
      <w:pgMar w:top="1276" w:right="707" w:bottom="127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68"/>
    <w:rsid w:val="00004DA9"/>
    <w:rsid w:val="00043E10"/>
    <w:rsid w:val="00052E15"/>
    <w:rsid w:val="0006502A"/>
    <w:rsid w:val="000864CB"/>
    <w:rsid w:val="000A725B"/>
    <w:rsid w:val="000D3517"/>
    <w:rsid w:val="000D743A"/>
    <w:rsid w:val="001008DB"/>
    <w:rsid w:val="00137894"/>
    <w:rsid w:val="0016365B"/>
    <w:rsid w:val="00166FAF"/>
    <w:rsid w:val="00177D3D"/>
    <w:rsid w:val="00180876"/>
    <w:rsid w:val="001A3291"/>
    <w:rsid w:val="001B0C07"/>
    <w:rsid w:val="001B4DCA"/>
    <w:rsid w:val="001D5305"/>
    <w:rsid w:val="001F61A5"/>
    <w:rsid w:val="00224193"/>
    <w:rsid w:val="00226A5A"/>
    <w:rsid w:val="00237E3D"/>
    <w:rsid w:val="0026330D"/>
    <w:rsid w:val="002678BF"/>
    <w:rsid w:val="002705DD"/>
    <w:rsid w:val="002746B8"/>
    <w:rsid w:val="00290C97"/>
    <w:rsid w:val="002916B8"/>
    <w:rsid w:val="002B1880"/>
    <w:rsid w:val="002B35C4"/>
    <w:rsid w:val="002C72CB"/>
    <w:rsid w:val="003109C7"/>
    <w:rsid w:val="0031699F"/>
    <w:rsid w:val="00321955"/>
    <w:rsid w:val="0032627E"/>
    <w:rsid w:val="00331245"/>
    <w:rsid w:val="0034066A"/>
    <w:rsid w:val="0034359D"/>
    <w:rsid w:val="00353789"/>
    <w:rsid w:val="00354238"/>
    <w:rsid w:val="00360486"/>
    <w:rsid w:val="003711B3"/>
    <w:rsid w:val="00380DDA"/>
    <w:rsid w:val="00391F8B"/>
    <w:rsid w:val="003C7A84"/>
    <w:rsid w:val="003D102E"/>
    <w:rsid w:val="003D4AF6"/>
    <w:rsid w:val="003E3AD2"/>
    <w:rsid w:val="003E5382"/>
    <w:rsid w:val="004006D4"/>
    <w:rsid w:val="00403B3F"/>
    <w:rsid w:val="004210DD"/>
    <w:rsid w:val="00422EDE"/>
    <w:rsid w:val="00442248"/>
    <w:rsid w:val="004506A6"/>
    <w:rsid w:val="004B5F1C"/>
    <w:rsid w:val="004B68BF"/>
    <w:rsid w:val="004C68D1"/>
    <w:rsid w:val="004D20B7"/>
    <w:rsid w:val="004E72F8"/>
    <w:rsid w:val="00541CF1"/>
    <w:rsid w:val="00581AF0"/>
    <w:rsid w:val="00582113"/>
    <w:rsid w:val="00587BE9"/>
    <w:rsid w:val="005A1523"/>
    <w:rsid w:val="005B25EE"/>
    <w:rsid w:val="005B6073"/>
    <w:rsid w:val="005B78A4"/>
    <w:rsid w:val="005D6668"/>
    <w:rsid w:val="0060027D"/>
    <w:rsid w:val="0060192E"/>
    <w:rsid w:val="006058A3"/>
    <w:rsid w:val="00606DF6"/>
    <w:rsid w:val="0065139D"/>
    <w:rsid w:val="0067777E"/>
    <w:rsid w:val="006A4F8B"/>
    <w:rsid w:val="006A7CB9"/>
    <w:rsid w:val="00727AA1"/>
    <w:rsid w:val="007318BA"/>
    <w:rsid w:val="00731B5A"/>
    <w:rsid w:val="007368E9"/>
    <w:rsid w:val="00747EF4"/>
    <w:rsid w:val="00760FEF"/>
    <w:rsid w:val="007837E6"/>
    <w:rsid w:val="00786532"/>
    <w:rsid w:val="007871FA"/>
    <w:rsid w:val="007D1C08"/>
    <w:rsid w:val="00820ACC"/>
    <w:rsid w:val="00823524"/>
    <w:rsid w:val="00830A00"/>
    <w:rsid w:val="00836C09"/>
    <w:rsid w:val="00857DC2"/>
    <w:rsid w:val="00883768"/>
    <w:rsid w:val="00884F27"/>
    <w:rsid w:val="008A7421"/>
    <w:rsid w:val="008C6BBE"/>
    <w:rsid w:val="008D3A2A"/>
    <w:rsid w:val="00905114"/>
    <w:rsid w:val="009060D1"/>
    <w:rsid w:val="00907107"/>
    <w:rsid w:val="009265EF"/>
    <w:rsid w:val="00926EA8"/>
    <w:rsid w:val="009626A3"/>
    <w:rsid w:val="00973481"/>
    <w:rsid w:val="009B1100"/>
    <w:rsid w:val="009D5D1C"/>
    <w:rsid w:val="009D7F28"/>
    <w:rsid w:val="009F09FD"/>
    <w:rsid w:val="009F336B"/>
    <w:rsid w:val="00A00756"/>
    <w:rsid w:val="00A04399"/>
    <w:rsid w:val="00A2160C"/>
    <w:rsid w:val="00A31877"/>
    <w:rsid w:val="00A347BF"/>
    <w:rsid w:val="00A4785B"/>
    <w:rsid w:val="00A76E13"/>
    <w:rsid w:val="00A823A9"/>
    <w:rsid w:val="00AA4A8A"/>
    <w:rsid w:val="00AB3662"/>
    <w:rsid w:val="00AC2211"/>
    <w:rsid w:val="00AE3B2A"/>
    <w:rsid w:val="00B02364"/>
    <w:rsid w:val="00B154E4"/>
    <w:rsid w:val="00B40B57"/>
    <w:rsid w:val="00B63A30"/>
    <w:rsid w:val="00B91426"/>
    <w:rsid w:val="00BB3689"/>
    <w:rsid w:val="00C0054A"/>
    <w:rsid w:val="00C325A9"/>
    <w:rsid w:val="00C750A5"/>
    <w:rsid w:val="00C7730F"/>
    <w:rsid w:val="00C83EC2"/>
    <w:rsid w:val="00C91CC0"/>
    <w:rsid w:val="00C95846"/>
    <w:rsid w:val="00CB5C8A"/>
    <w:rsid w:val="00CB5D72"/>
    <w:rsid w:val="00CD0804"/>
    <w:rsid w:val="00CE0BCF"/>
    <w:rsid w:val="00CE33EE"/>
    <w:rsid w:val="00D11A97"/>
    <w:rsid w:val="00D2006A"/>
    <w:rsid w:val="00D32C8F"/>
    <w:rsid w:val="00D44299"/>
    <w:rsid w:val="00D46F4C"/>
    <w:rsid w:val="00D50823"/>
    <w:rsid w:val="00D7183B"/>
    <w:rsid w:val="00D777D3"/>
    <w:rsid w:val="00D859F6"/>
    <w:rsid w:val="00DC5E40"/>
    <w:rsid w:val="00DD718C"/>
    <w:rsid w:val="00DF68E6"/>
    <w:rsid w:val="00DF7E57"/>
    <w:rsid w:val="00E0597C"/>
    <w:rsid w:val="00E079F7"/>
    <w:rsid w:val="00E32233"/>
    <w:rsid w:val="00E33040"/>
    <w:rsid w:val="00E33E02"/>
    <w:rsid w:val="00E361C3"/>
    <w:rsid w:val="00E45E82"/>
    <w:rsid w:val="00E50555"/>
    <w:rsid w:val="00E57301"/>
    <w:rsid w:val="00E75EB5"/>
    <w:rsid w:val="00E8266F"/>
    <w:rsid w:val="00E90856"/>
    <w:rsid w:val="00EA025D"/>
    <w:rsid w:val="00EA5973"/>
    <w:rsid w:val="00EB1039"/>
    <w:rsid w:val="00EC2BD9"/>
    <w:rsid w:val="00EE4E39"/>
    <w:rsid w:val="00EF283E"/>
    <w:rsid w:val="00F34CCE"/>
    <w:rsid w:val="00F35085"/>
    <w:rsid w:val="00F7136C"/>
    <w:rsid w:val="00F876E5"/>
    <w:rsid w:val="00FA4BF1"/>
    <w:rsid w:val="00FB71E5"/>
    <w:rsid w:val="00FE5D3F"/>
    <w:rsid w:val="65BA547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82775"/>
  <w15:docId w15:val="{820D51D1-6986-4D93-B28A-3AABAD76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7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6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1C3"/>
    <w:rPr>
      <w:rFonts w:ascii="Tahoma" w:hAnsi="Tahoma" w:cs="Tahoma"/>
      <w:sz w:val="16"/>
      <w:szCs w:val="16"/>
    </w:rPr>
  </w:style>
  <w:style w:type="paragraph" w:styleId="NormalWeb">
    <w:name w:val="Normal (Web)"/>
    <w:basedOn w:val="Normal"/>
    <w:uiPriority w:val="99"/>
    <w:unhideWhenUsed/>
    <w:rsid w:val="00727AA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ody">
    <w:name w:val="Body"/>
    <w:rsid w:val="007837E6"/>
    <w:pPr>
      <w:spacing w:after="0" w:line="360" w:lineRule="auto"/>
      <w:ind w:firstLine="720"/>
      <w:jc w:val="both"/>
    </w:pPr>
    <w:rPr>
      <w:rFonts w:ascii="Calibri" w:eastAsia="Arial Unicode MS" w:hAnsi="Calibri" w:cs="Arial Unicode MS"/>
      <w:color w:val="000000"/>
      <w:u w:color="000000"/>
      <w:lang w:eastAsia="lt-LT"/>
    </w:rPr>
  </w:style>
  <w:style w:type="character" w:styleId="Strong">
    <w:name w:val="Strong"/>
    <w:basedOn w:val="DefaultParagraphFont"/>
    <w:uiPriority w:val="22"/>
    <w:qFormat/>
    <w:rsid w:val="00EF283E"/>
    <w:rPr>
      <w:b/>
      <w:bCs/>
    </w:rPr>
  </w:style>
  <w:style w:type="character" w:styleId="Emphasis">
    <w:name w:val="Emphasis"/>
    <w:basedOn w:val="DefaultParagraphFont"/>
    <w:uiPriority w:val="20"/>
    <w:qFormat/>
    <w:rsid w:val="00EF283E"/>
    <w:rPr>
      <w:i/>
      <w:iCs/>
    </w:rPr>
  </w:style>
  <w:style w:type="paragraph" w:customStyle="1" w:styleId="small-logo-text">
    <w:name w:val="small-logo-text"/>
    <w:basedOn w:val="Normal"/>
    <w:rsid w:val="00EF283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8599">
      <w:bodyDiv w:val="1"/>
      <w:marLeft w:val="0"/>
      <w:marRight w:val="0"/>
      <w:marTop w:val="0"/>
      <w:marBottom w:val="0"/>
      <w:divBdr>
        <w:top w:val="none" w:sz="0" w:space="0" w:color="auto"/>
        <w:left w:val="none" w:sz="0" w:space="0" w:color="auto"/>
        <w:bottom w:val="none" w:sz="0" w:space="0" w:color="auto"/>
        <w:right w:val="none" w:sz="0" w:space="0" w:color="auto"/>
      </w:divBdr>
    </w:div>
    <w:div w:id="126974550">
      <w:bodyDiv w:val="1"/>
      <w:marLeft w:val="0"/>
      <w:marRight w:val="0"/>
      <w:marTop w:val="0"/>
      <w:marBottom w:val="0"/>
      <w:divBdr>
        <w:top w:val="none" w:sz="0" w:space="0" w:color="auto"/>
        <w:left w:val="none" w:sz="0" w:space="0" w:color="auto"/>
        <w:bottom w:val="none" w:sz="0" w:space="0" w:color="auto"/>
        <w:right w:val="none" w:sz="0" w:space="0" w:color="auto"/>
      </w:divBdr>
    </w:div>
    <w:div w:id="207841968">
      <w:bodyDiv w:val="1"/>
      <w:marLeft w:val="0"/>
      <w:marRight w:val="0"/>
      <w:marTop w:val="0"/>
      <w:marBottom w:val="0"/>
      <w:divBdr>
        <w:top w:val="none" w:sz="0" w:space="0" w:color="auto"/>
        <w:left w:val="none" w:sz="0" w:space="0" w:color="auto"/>
        <w:bottom w:val="none" w:sz="0" w:space="0" w:color="auto"/>
        <w:right w:val="none" w:sz="0" w:space="0" w:color="auto"/>
      </w:divBdr>
    </w:div>
    <w:div w:id="246769105">
      <w:bodyDiv w:val="1"/>
      <w:marLeft w:val="0"/>
      <w:marRight w:val="0"/>
      <w:marTop w:val="0"/>
      <w:marBottom w:val="0"/>
      <w:divBdr>
        <w:top w:val="none" w:sz="0" w:space="0" w:color="auto"/>
        <w:left w:val="none" w:sz="0" w:space="0" w:color="auto"/>
        <w:bottom w:val="none" w:sz="0" w:space="0" w:color="auto"/>
        <w:right w:val="none" w:sz="0" w:space="0" w:color="auto"/>
      </w:divBdr>
    </w:div>
    <w:div w:id="355815310">
      <w:bodyDiv w:val="1"/>
      <w:marLeft w:val="0"/>
      <w:marRight w:val="0"/>
      <w:marTop w:val="0"/>
      <w:marBottom w:val="0"/>
      <w:divBdr>
        <w:top w:val="none" w:sz="0" w:space="0" w:color="auto"/>
        <w:left w:val="none" w:sz="0" w:space="0" w:color="auto"/>
        <w:bottom w:val="none" w:sz="0" w:space="0" w:color="auto"/>
        <w:right w:val="none" w:sz="0" w:space="0" w:color="auto"/>
      </w:divBdr>
    </w:div>
    <w:div w:id="506821662">
      <w:bodyDiv w:val="1"/>
      <w:marLeft w:val="0"/>
      <w:marRight w:val="0"/>
      <w:marTop w:val="0"/>
      <w:marBottom w:val="0"/>
      <w:divBdr>
        <w:top w:val="none" w:sz="0" w:space="0" w:color="auto"/>
        <w:left w:val="none" w:sz="0" w:space="0" w:color="auto"/>
        <w:bottom w:val="none" w:sz="0" w:space="0" w:color="auto"/>
        <w:right w:val="none" w:sz="0" w:space="0" w:color="auto"/>
      </w:divBdr>
    </w:div>
    <w:div w:id="578447579">
      <w:bodyDiv w:val="1"/>
      <w:marLeft w:val="0"/>
      <w:marRight w:val="0"/>
      <w:marTop w:val="0"/>
      <w:marBottom w:val="0"/>
      <w:divBdr>
        <w:top w:val="none" w:sz="0" w:space="0" w:color="auto"/>
        <w:left w:val="none" w:sz="0" w:space="0" w:color="auto"/>
        <w:bottom w:val="none" w:sz="0" w:space="0" w:color="auto"/>
        <w:right w:val="none" w:sz="0" w:space="0" w:color="auto"/>
      </w:divBdr>
    </w:div>
    <w:div w:id="851799664">
      <w:bodyDiv w:val="1"/>
      <w:marLeft w:val="0"/>
      <w:marRight w:val="0"/>
      <w:marTop w:val="0"/>
      <w:marBottom w:val="0"/>
      <w:divBdr>
        <w:top w:val="none" w:sz="0" w:space="0" w:color="auto"/>
        <w:left w:val="none" w:sz="0" w:space="0" w:color="auto"/>
        <w:bottom w:val="none" w:sz="0" w:space="0" w:color="auto"/>
        <w:right w:val="none" w:sz="0" w:space="0" w:color="auto"/>
      </w:divBdr>
      <w:divsChild>
        <w:div w:id="501359708">
          <w:marLeft w:val="0"/>
          <w:marRight w:val="0"/>
          <w:marTop w:val="0"/>
          <w:marBottom w:val="0"/>
          <w:divBdr>
            <w:top w:val="none" w:sz="0" w:space="0" w:color="auto"/>
            <w:left w:val="none" w:sz="0" w:space="0" w:color="auto"/>
            <w:bottom w:val="none" w:sz="0" w:space="0" w:color="auto"/>
            <w:right w:val="none" w:sz="0" w:space="0" w:color="auto"/>
          </w:divBdr>
          <w:divsChild>
            <w:div w:id="939146382">
              <w:marLeft w:val="0"/>
              <w:marRight w:val="0"/>
              <w:marTop w:val="100"/>
              <w:marBottom w:val="100"/>
              <w:divBdr>
                <w:top w:val="none" w:sz="0" w:space="0" w:color="auto"/>
                <w:left w:val="none" w:sz="0" w:space="0" w:color="auto"/>
                <w:bottom w:val="none" w:sz="0" w:space="0" w:color="auto"/>
                <w:right w:val="none" w:sz="0" w:space="0" w:color="auto"/>
              </w:divBdr>
              <w:divsChild>
                <w:div w:id="1965454182">
                  <w:marLeft w:val="-330"/>
                  <w:marRight w:val="0"/>
                  <w:marTop w:val="0"/>
                  <w:marBottom w:val="0"/>
                  <w:divBdr>
                    <w:top w:val="none" w:sz="0" w:space="0" w:color="auto"/>
                    <w:left w:val="none" w:sz="0" w:space="0" w:color="auto"/>
                    <w:bottom w:val="none" w:sz="0" w:space="0" w:color="auto"/>
                    <w:right w:val="none" w:sz="0" w:space="0" w:color="auto"/>
                  </w:divBdr>
                  <w:divsChild>
                    <w:div w:id="20139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422706">
      <w:bodyDiv w:val="1"/>
      <w:marLeft w:val="0"/>
      <w:marRight w:val="0"/>
      <w:marTop w:val="0"/>
      <w:marBottom w:val="0"/>
      <w:divBdr>
        <w:top w:val="none" w:sz="0" w:space="0" w:color="auto"/>
        <w:left w:val="none" w:sz="0" w:space="0" w:color="auto"/>
        <w:bottom w:val="none" w:sz="0" w:space="0" w:color="auto"/>
        <w:right w:val="none" w:sz="0" w:space="0" w:color="auto"/>
      </w:divBdr>
    </w:div>
    <w:div w:id="1112018395">
      <w:bodyDiv w:val="1"/>
      <w:marLeft w:val="0"/>
      <w:marRight w:val="0"/>
      <w:marTop w:val="0"/>
      <w:marBottom w:val="0"/>
      <w:divBdr>
        <w:top w:val="none" w:sz="0" w:space="0" w:color="auto"/>
        <w:left w:val="none" w:sz="0" w:space="0" w:color="auto"/>
        <w:bottom w:val="none" w:sz="0" w:space="0" w:color="auto"/>
        <w:right w:val="none" w:sz="0" w:space="0" w:color="auto"/>
      </w:divBdr>
    </w:div>
    <w:div w:id="1127745303">
      <w:bodyDiv w:val="1"/>
      <w:marLeft w:val="0"/>
      <w:marRight w:val="0"/>
      <w:marTop w:val="0"/>
      <w:marBottom w:val="0"/>
      <w:divBdr>
        <w:top w:val="none" w:sz="0" w:space="0" w:color="auto"/>
        <w:left w:val="none" w:sz="0" w:space="0" w:color="auto"/>
        <w:bottom w:val="none" w:sz="0" w:space="0" w:color="auto"/>
        <w:right w:val="none" w:sz="0" w:space="0" w:color="auto"/>
      </w:divBdr>
    </w:div>
    <w:div w:id="1207402349">
      <w:bodyDiv w:val="1"/>
      <w:marLeft w:val="0"/>
      <w:marRight w:val="0"/>
      <w:marTop w:val="0"/>
      <w:marBottom w:val="0"/>
      <w:divBdr>
        <w:top w:val="none" w:sz="0" w:space="0" w:color="auto"/>
        <w:left w:val="none" w:sz="0" w:space="0" w:color="auto"/>
        <w:bottom w:val="none" w:sz="0" w:space="0" w:color="auto"/>
        <w:right w:val="none" w:sz="0" w:space="0" w:color="auto"/>
      </w:divBdr>
    </w:div>
    <w:div w:id="1407024397">
      <w:bodyDiv w:val="1"/>
      <w:marLeft w:val="0"/>
      <w:marRight w:val="0"/>
      <w:marTop w:val="0"/>
      <w:marBottom w:val="0"/>
      <w:divBdr>
        <w:top w:val="none" w:sz="0" w:space="0" w:color="auto"/>
        <w:left w:val="none" w:sz="0" w:space="0" w:color="auto"/>
        <w:bottom w:val="none" w:sz="0" w:space="0" w:color="auto"/>
        <w:right w:val="none" w:sz="0" w:space="0" w:color="auto"/>
      </w:divBdr>
    </w:div>
    <w:div w:id="1824732907">
      <w:bodyDiv w:val="1"/>
      <w:marLeft w:val="0"/>
      <w:marRight w:val="0"/>
      <w:marTop w:val="0"/>
      <w:marBottom w:val="0"/>
      <w:divBdr>
        <w:top w:val="none" w:sz="0" w:space="0" w:color="auto"/>
        <w:left w:val="none" w:sz="0" w:space="0" w:color="auto"/>
        <w:bottom w:val="none" w:sz="0" w:space="0" w:color="auto"/>
        <w:right w:val="none" w:sz="0" w:space="0" w:color="auto"/>
      </w:divBdr>
    </w:div>
    <w:div w:id="18292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1880</Words>
  <Characters>10722</Characters>
  <Application>Microsoft Office Word</Application>
  <DocSecurity>0</DocSecurity>
  <Lines>89</Lines>
  <Paragraphs>25</Paragraphs>
  <ScaleCrop>false</ScaleCrop>
  <Company/>
  <LinksUpToDate>false</LinksUpToDate>
  <CharactersWithSpaces>12577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Ligija Kaminskienė</dc:creator>
  <cp:lastModifiedBy>Dalia Mankauskienė</cp:lastModifiedBy>
  <cp:revision>23</cp:revision>
  <cp:lastPrinted>2016-05-04T08:07:00Z</cp:lastPrinted>
  <dcterms:created xsi:type="dcterms:W3CDTF">2021-04-26T06:57:00Z</dcterms:created>
  <dcterms:modified xsi:type="dcterms:W3CDTF">2021-04-28T11:21:00Z</dcterms:modified>
</cp:coreProperties>
</file>