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07C9" w14:textId="125B3955" w:rsidR="00B63A30" w:rsidRPr="002B1880" w:rsidRDefault="00883768" w:rsidP="003711B3">
      <w:pPr>
        <w:spacing w:after="120" w:line="240" w:lineRule="auto"/>
        <w:ind w:left="3885" w:hanging="3885"/>
        <w:jc w:val="center"/>
        <w:rPr>
          <w:rFonts w:ascii="Times New Roman" w:hAnsi="Times New Roman" w:cs="Times New Roman"/>
          <w:sz w:val="24"/>
          <w:szCs w:val="24"/>
        </w:rPr>
      </w:pPr>
      <w:r w:rsidRPr="002B1880">
        <w:rPr>
          <w:rFonts w:ascii="Times New Roman" w:hAnsi="Times New Roman" w:cs="Times New Roman"/>
          <w:sz w:val="24"/>
          <w:szCs w:val="24"/>
        </w:rPr>
        <w:t>Vilniaus universiteto</w:t>
      </w:r>
    </w:p>
    <w:p w14:paraId="39899159" w14:textId="77777777" w:rsidR="00883768" w:rsidRPr="002B1880" w:rsidRDefault="00883768" w:rsidP="003711B3">
      <w:pPr>
        <w:spacing w:after="120" w:line="240" w:lineRule="auto"/>
        <w:jc w:val="center"/>
        <w:rPr>
          <w:rFonts w:ascii="Times New Roman" w:hAnsi="Times New Roman" w:cs="Times New Roman"/>
          <w:sz w:val="24"/>
          <w:szCs w:val="24"/>
        </w:rPr>
      </w:pPr>
      <w:r w:rsidRPr="002B1880">
        <w:rPr>
          <w:rFonts w:ascii="Times New Roman" w:hAnsi="Times New Roman" w:cs="Times New Roman"/>
          <w:sz w:val="24"/>
          <w:szCs w:val="24"/>
        </w:rPr>
        <w:t>Filologijos fakulteto</w:t>
      </w:r>
    </w:p>
    <w:p w14:paraId="6D99C950" w14:textId="60854803" w:rsidR="00883768" w:rsidRPr="002B1880" w:rsidRDefault="00353789" w:rsidP="003711B3">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Literatūros, kultūros ir vertimo tyrimų institutas</w:t>
      </w:r>
    </w:p>
    <w:p w14:paraId="3FCCF4EE" w14:textId="77777777" w:rsidR="00926EA8" w:rsidRPr="002B1880" w:rsidRDefault="00926EA8" w:rsidP="003711B3">
      <w:pPr>
        <w:spacing w:after="120" w:line="240" w:lineRule="auto"/>
        <w:jc w:val="center"/>
        <w:rPr>
          <w:rFonts w:ascii="Times New Roman" w:hAnsi="Times New Roman" w:cs="Times New Roman"/>
          <w:sz w:val="24"/>
          <w:szCs w:val="24"/>
        </w:rPr>
      </w:pPr>
    </w:p>
    <w:p w14:paraId="34DD1379" w14:textId="5A8F6166" w:rsidR="00926EA8" w:rsidRPr="002B1880" w:rsidRDefault="00353789" w:rsidP="003711B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Studentų</w:t>
      </w:r>
      <w:r w:rsidR="00926EA8" w:rsidRPr="002B1880">
        <w:rPr>
          <w:rFonts w:ascii="Times New Roman" w:hAnsi="Times New Roman" w:cs="Times New Roman"/>
          <w:b/>
          <w:sz w:val="24"/>
          <w:szCs w:val="24"/>
        </w:rPr>
        <w:t xml:space="preserve"> konferencija</w:t>
      </w:r>
    </w:p>
    <w:p w14:paraId="649314BC" w14:textId="1D044051" w:rsidR="0034066A" w:rsidRPr="002B1880" w:rsidRDefault="00E75EB5" w:rsidP="003711B3">
      <w:pPr>
        <w:spacing w:after="120" w:line="240" w:lineRule="auto"/>
        <w:jc w:val="center"/>
        <w:rPr>
          <w:rFonts w:ascii="Times New Roman" w:hAnsi="Times New Roman" w:cs="Times New Roman"/>
          <w:sz w:val="24"/>
          <w:szCs w:val="24"/>
        </w:rPr>
      </w:pPr>
      <w:r w:rsidRPr="00E75EB5">
        <w:rPr>
          <w:rFonts w:ascii="Times New Roman" w:hAnsi="Times New Roman" w:cs="Times New Roman"/>
          <w:b/>
          <w:bCs/>
          <w:sz w:val="24"/>
          <w:szCs w:val="24"/>
        </w:rPr>
        <w:t>Pirmasis žvilgsnis: tarpdisciplininiai tyrimai</w:t>
      </w:r>
    </w:p>
    <w:p w14:paraId="10D82A0F" w14:textId="4FD23E4A" w:rsidR="000B1F2A" w:rsidRDefault="00CE33EE" w:rsidP="003711B3">
      <w:pPr>
        <w:spacing w:after="120" w:line="240" w:lineRule="auto"/>
        <w:jc w:val="center"/>
        <w:rPr>
          <w:rFonts w:ascii="Times New Roman" w:hAnsi="Times New Roman" w:cs="Times New Roman"/>
          <w:b/>
          <w:sz w:val="24"/>
          <w:szCs w:val="24"/>
        </w:rPr>
      </w:pPr>
      <w:r w:rsidRPr="002B1880">
        <w:rPr>
          <w:rFonts w:ascii="Times New Roman" w:hAnsi="Times New Roman" w:cs="Times New Roman"/>
          <w:b/>
          <w:sz w:val="24"/>
          <w:szCs w:val="24"/>
        </w:rPr>
        <w:t>20</w:t>
      </w:r>
      <w:r w:rsidR="000D3517" w:rsidRPr="002B1880">
        <w:rPr>
          <w:rFonts w:ascii="Times New Roman" w:hAnsi="Times New Roman" w:cs="Times New Roman"/>
          <w:b/>
          <w:sz w:val="24"/>
          <w:szCs w:val="24"/>
        </w:rPr>
        <w:t>2</w:t>
      </w:r>
      <w:r w:rsidR="00F844C7">
        <w:rPr>
          <w:rFonts w:ascii="Times New Roman" w:hAnsi="Times New Roman" w:cs="Times New Roman"/>
          <w:b/>
          <w:sz w:val="24"/>
          <w:szCs w:val="24"/>
        </w:rPr>
        <w:t>2</w:t>
      </w:r>
      <w:r w:rsidRPr="002B1880">
        <w:rPr>
          <w:rFonts w:ascii="Times New Roman" w:hAnsi="Times New Roman" w:cs="Times New Roman"/>
          <w:b/>
          <w:sz w:val="24"/>
          <w:szCs w:val="24"/>
        </w:rPr>
        <w:t xml:space="preserve"> m. gegužės </w:t>
      </w:r>
      <w:r w:rsidR="004B5F1C">
        <w:rPr>
          <w:rFonts w:ascii="Times New Roman" w:hAnsi="Times New Roman" w:cs="Times New Roman"/>
          <w:b/>
          <w:sz w:val="24"/>
          <w:szCs w:val="24"/>
        </w:rPr>
        <w:t>4</w:t>
      </w:r>
      <w:r w:rsidR="0031699F" w:rsidRPr="002B1880">
        <w:rPr>
          <w:rFonts w:ascii="Times New Roman" w:hAnsi="Times New Roman" w:cs="Times New Roman"/>
          <w:b/>
          <w:sz w:val="24"/>
          <w:szCs w:val="24"/>
        </w:rPr>
        <w:t xml:space="preserve"> d.</w:t>
      </w:r>
      <w:r w:rsidR="00AA4A8A">
        <w:rPr>
          <w:rFonts w:ascii="Times New Roman" w:hAnsi="Times New Roman" w:cs="Times New Roman"/>
          <w:b/>
          <w:sz w:val="24"/>
          <w:szCs w:val="24"/>
        </w:rPr>
        <w:t xml:space="preserve"> </w:t>
      </w:r>
    </w:p>
    <w:p w14:paraId="062FB0C3" w14:textId="39807A14" w:rsidR="00226A5A" w:rsidRPr="002B1880" w:rsidRDefault="000120A7" w:rsidP="003711B3">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92 </w:t>
      </w:r>
      <w:proofErr w:type="spellStart"/>
      <w:r>
        <w:rPr>
          <w:rFonts w:ascii="Times New Roman" w:hAnsi="Times New Roman" w:cs="Times New Roman"/>
          <w:b/>
          <w:sz w:val="24"/>
          <w:szCs w:val="24"/>
        </w:rPr>
        <w:t>aud</w:t>
      </w:r>
      <w:proofErr w:type="spellEnd"/>
      <w:r>
        <w:rPr>
          <w:rFonts w:ascii="Times New Roman" w:hAnsi="Times New Roman" w:cs="Times New Roman"/>
          <w:b/>
          <w:sz w:val="24"/>
          <w:szCs w:val="24"/>
        </w:rPr>
        <w:t>.</w:t>
      </w:r>
    </w:p>
    <w:p w14:paraId="7EBBCB2F" w14:textId="3CC3F7A3" w:rsidR="003D102E" w:rsidRPr="002B1880" w:rsidRDefault="003D102E" w:rsidP="003711B3">
      <w:pPr>
        <w:spacing w:after="120" w:line="240" w:lineRule="auto"/>
        <w:jc w:val="both"/>
        <w:rPr>
          <w:rFonts w:ascii="Times New Roman" w:hAnsi="Times New Roman" w:cs="Times New Roman"/>
          <w:sz w:val="24"/>
          <w:szCs w:val="24"/>
        </w:rPr>
      </w:pPr>
    </w:p>
    <w:tbl>
      <w:tblPr>
        <w:tblStyle w:val="TableGrid"/>
        <w:tblW w:w="10207" w:type="dxa"/>
        <w:tblInd w:w="-856" w:type="dxa"/>
        <w:tblLook w:val="04A0" w:firstRow="1" w:lastRow="0" w:firstColumn="1" w:lastColumn="0" w:noHBand="0" w:noVBand="1"/>
      </w:tblPr>
      <w:tblGrid>
        <w:gridCol w:w="880"/>
        <w:gridCol w:w="9327"/>
      </w:tblGrid>
      <w:tr w:rsidR="009F336B" w:rsidRPr="002B1880" w14:paraId="493F6C45" w14:textId="77777777" w:rsidTr="007D1C08">
        <w:trPr>
          <w:trHeight w:val="306"/>
        </w:trPr>
        <w:tc>
          <w:tcPr>
            <w:tcW w:w="880" w:type="dxa"/>
            <w:vAlign w:val="center"/>
          </w:tcPr>
          <w:p w14:paraId="056EB5E7" w14:textId="3283E490" w:rsidR="00A347BF" w:rsidRPr="002B1880" w:rsidRDefault="00F7136C" w:rsidP="003711B3">
            <w:pPr>
              <w:spacing w:after="120"/>
              <w:jc w:val="both"/>
              <w:rPr>
                <w:rFonts w:ascii="Times New Roman" w:hAnsi="Times New Roman" w:cs="Times New Roman"/>
                <w:sz w:val="24"/>
                <w:szCs w:val="24"/>
              </w:rPr>
            </w:pPr>
            <w:r>
              <w:rPr>
                <w:rFonts w:ascii="Times New Roman" w:hAnsi="Times New Roman" w:cs="Times New Roman"/>
                <w:sz w:val="24"/>
                <w:szCs w:val="24"/>
              </w:rPr>
              <w:t>09.30</w:t>
            </w:r>
          </w:p>
        </w:tc>
        <w:tc>
          <w:tcPr>
            <w:tcW w:w="9327" w:type="dxa"/>
          </w:tcPr>
          <w:p w14:paraId="0BC2BFA9" w14:textId="608FECF1" w:rsidR="00E32233" w:rsidRPr="00EA5973" w:rsidRDefault="003E5382" w:rsidP="003711B3">
            <w:pPr>
              <w:spacing w:after="120"/>
              <w:jc w:val="both"/>
              <w:rPr>
                <w:rFonts w:ascii="Times New Roman" w:hAnsi="Times New Roman" w:cs="Times New Roman"/>
                <w:i/>
                <w:sz w:val="24"/>
                <w:szCs w:val="24"/>
              </w:rPr>
            </w:pPr>
            <w:r>
              <w:rPr>
                <w:rFonts w:ascii="Times New Roman" w:hAnsi="Times New Roman" w:cs="Times New Roman"/>
                <w:i/>
                <w:sz w:val="24"/>
                <w:szCs w:val="24"/>
              </w:rPr>
              <w:t>Konferencijos atidarymas. Sveikinimo žodis</w:t>
            </w:r>
          </w:p>
        </w:tc>
      </w:tr>
      <w:tr w:rsidR="00786532" w:rsidRPr="002B1880" w14:paraId="0DB13F99" w14:textId="77777777" w:rsidTr="006A7CB9">
        <w:tc>
          <w:tcPr>
            <w:tcW w:w="880" w:type="dxa"/>
            <w:vAlign w:val="center"/>
          </w:tcPr>
          <w:p w14:paraId="6717179E" w14:textId="5E358AB4" w:rsidR="00786532" w:rsidRPr="002B1880" w:rsidRDefault="00786532" w:rsidP="00786532">
            <w:pPr>
              <w:spacing w:after="120"/>
              <w:jc w:val="both"/>
              <w:rPr>
                <w:rFonts w:ascii="Times New Roman" w:hAnsi="Times New Roman" w:cs="Times New Roman"/>
                <w:sz w:val="24"/>
                <w:szCs w:val="24"/>
              </w:rPr>
            </w:pPr>
            <w:r>
              <w:rPr>
                <w:rFonts w:ascii="Times New Roman" w:hAnsi="Times New Roman" w:cs="Times New Roman"/>
                <w:sz w:val="24"/>
                <w:szCs w:val="24"/>
              </w:rPr>
              <w:t>09</w:t>
            </w:r>
            <w:r w:rsidRPr="002B1880">
              <w:rPr>
                <w:rFonts w:ascii="Times New Roman" w:hAnsi="Times New Roman" w:cs="Times New Roman"/>
                <w:sz w:val="24"/>
                <w:szCs w:val="24"/>
              </w:rPr>
              <w:t>.</w:t>
            </w:r>
            <w:r>
              <w:rPr>
                <w:rFonts w:ascii="Times New Roman" w:hAnsi="Times New Roman" w:cs="Times New Roman"/>
                <w:sz w:val="24"/>
                <w:szCs w:val="24"/>
              </w:rPr>
              <w:t>35</w:t>
            </w:r>
          </w:p>
        </w:tc>
        <w:tc>
          <w:tcPr>
            <w:tcW w:w="9327" w:type="dxa"/>
          </w:tcPr>
          <w:p w14:paraId="1A540135" w14:textId="4CA71B50" w:rsidR="00786532" w:rsidRPr="00155B62" w:rsidRDefault="00711BAC" w:rsidP="00786532">
            <w:pPr>
              <w:spacing w:line="360" w:lineRule="auto"/>
              <w:jc w:val="both"/>
              <w:rPr>
                <w:rFonts w:ascii="Times New Roman" w:eastAsia="Calibri" w:hAnsi="Times New Roman" w:cs="Times New Roman"/>
                <w:b/>
                <w:bCs/>
                <w:sz w:val="24"/>
                <w:szCs w:val="24"/>
              </w:rPr>
            </w:pPr>
            <w:r w:rsidRPr="00155B62">
              <w:rPr>
                <w:rFonts w:ascii="Times New Roman" w:eastAsia="Calibri" w:hAnsi="Times New Roman" w:cs="Times New Roman"/>
                <w:b/>
                <w:bCs/>
                <w:sz w:val="24"/>
                <w:szCs w:val="24"/>
              </w:rPr>
              <w:t xml:space="preserve">Gintarė </w:t>
            </w:r>
            <w:proofErr w:type="spellStart"/>
            <w:r w:rsidRPr="00155B62">
              <w:rPr>
                <w:rFonts w:ascii="Times New Roman" w:eastAsia="Calibri" w:hAnsi="Times New Roman" w:cs="Times New Roman"/>
                <w:b/>
                <w:bCs/>
                <w:sz w:val="24"/>
                <w:szCs w:val="24"/>
              </w:rPr>
              <w:t>Juršėnaitė</w:t>
            </w:r>
            <w:proofErr w:type="spellEnd"/>
            <w:r w:rsidRPr="00155B62">
              <w:rPr>
                <w:rFonts w:ascii="Times New Roman" w:eastAsia="Calibri" w:hAnsi="Times New Roman" w:cs="Times New Roman"/>
                <w:b/>
                <w:bCs/>
                <w:sz w:val="24"/>
                <w:szCs w:val="24"/>
              </w:rPr>
              <w:t xml:space="preserve"> </w:t>
            </w:r>
            <w:r w:rsidR="00786532" w:rsidRPr="00155B62">
              <w:rPr>
                <w:rFonts w:ascii="Times New Roman" w:eastAsia="Calibri" w:hAnsi="Times New Roman" w:cs="Times New Roman"/>
                <w:b/>
                <w:bCs/>
                <w:sz w:val="24"/>
                <w:szCs w:val="24"/>
              </w:rPr>
              <w:t>(</w:t>
            </w:r>
            <w:r w:rsidR="00A277BC" w:rsidRPr="00155B62">
              <w:rPr>
                <w:rFonts w:ascii="Times New Roman" w:eastAsia="Calibri" w:hAnsi="Times New Roman" w:cs="Times New Roman"/>
                <w:b/>
                <w:bCs/>
                <w:sz w:val="24"/>
                <w:szCs w:val="24"/>
              </w:rPr>
              <w:t>Anglų ir ispanų kalba</w:t>
            </w:r>
            <w:r w:rsidR="00037CA5" w:rsidRPr="00155B62">
              <w:rPr>
                <w:rFonts w:ascii="Times New Roman" w:eastAsia="Calibri" w:hAnsi="Times New Roman" w:cs="Times New Roman"/>
                <w:b/>
                <w:bCs/>
                <w:sz w:val="24"/>
                <w:szCs w:val="24"/>
              </w:rPr>
              <w:t xml:space="preserve"> BA IV kursas</w:t>
            </w:r>
            <w:r w:rsidR="00786532" w:rsidRPr="00155B62">
              <w:rPr>
                <w:rFonts w:ascii="Times New Roman" w:eastAsia="Calibri" w:hAnsi="Times New Roman" w:cs="Times New Roman"/>
                <w:b/>
                <w:bCs/>
                <w:sz w:val="24"/>
                <w:szCs w:val="24"/>
              </w:rPr>
              <w:t>)</w:t>
            </w:r>
          </w:p>
          <w:p w14:paraId="1BA7FE42" w14:textId="77777777" w:rsidR="00786532" w:rsidRPr="00155B62" w:rsidRDefault="00037CA5" w:rsidP="00A76E13">
            <w:pPr>
              <w:spacing w:line="360" w:lineRule="auto"/>
              <w:jc w:val="both"/>
              <w:rPr>
                <w:rFonts w:ascii="Times New Roman" w:eastAsia="Calibri" w:hAnsi="Times New Roman" w:cs="Times New Roman"/>
                <w:b/>
                <w:bCs/>
                <w:i/>
                <w:sz w:val="24"/>
                <w:szCs w:val="24"/>
              </w:rPr>
            </w:pPr>
            <w:proofErr w:type="spellStart"/>
            <w:r w:rsidRPr="00155B62">
              <w:rPr>
                <w:rFonts w:ascii="Times New Roman" w:eastAsia="Calibri" w:hAnsi="Times New Roman" w:cs="Times New Roman"/>
                <w:b/>
                <w:bCs/>
                <w:i/>
                <w:sz w:val="24"/>
                <w:szCs w:val="24"/>
              </w:rPr>
              <w:t>Ispanakalbė</w:t>
            </w:r>
            <w:proofErr w:type="spellEnd"/>
            <w:r w:rsidRPr="00155B62">
              <w:rPr>
                <w:rFonts w:ascii="Times New Roman" w:eastAsia="Calibri" w:hAnsi="Times New Roman" w:cs="Times New Roman"/>
                <w:b/>
                <w:bCs/>
                <w:i/>
                <w:sz w:val="24"/>
                <w:szCs w:val="24"/>
              </w:rPr>
              <w:t xml:space="preserve"> literatūra sovietinėje Lietuvoje. Ką sužinome iš bibliografinės rodyklės?</w:t>
            </w:r>
          </w:p>
          <w:p w14:paraId="7BF1FE2F" w14:textId="3C616F30" w:rsidR="006A23E2" w:rsidRPr="006A23E2" w:rsidRDefault="006A23E2" w:rsidP="006A23E2">
            <w:pPr>
              <w:jc w:val="both"/>
              <w:rPr>
                <w:rFonts w:ascii="Times New Roman" w:hAnsi="Times New Roman" w:cs="Times New Roman"/>
                <w:iCs/>
              </w:rPr>
            </w:pPr>
            <w:r w:rsidRPr="006A23E2">
              <w:rPr>
                <w:rFonts w:ascii="Times New Roman" w:hAnsi="Times New Roman" w:cs="Times New Roman"/>
                <w:iCs/>
              </w:rPr>
              <w:t xml:space="preserve">Tyrimų apie vertimus į lietuvių kalbą sovietmečiu jau gana nemažai, tačiau </w:t>
            </w:r>
            <w:proofErr w:type="spellStart"/>
            <w:r w:rsidRPr="006A23E2">
              <w:rPr>
                <w:rFonts w:ascii="Times New Roman" w:hAnsi="Times New Roman" w:cs="Times New Roman"/>
                <w:iCs/>
              </w:rPr>
              <w:t>ispanakalbių</w:t>
            </w:r>
            <w:proofErr w:type="spellEnd"/>
            <w:r w:rsidRPr="006A23E2">
              <w:rPr>
                <w:rFonts w:ascii="Times New Roman" w:hAnsi="Times New Roman" w:cs="Times New Roman"/>
                <w:iCs/>
              </w:rPr>
              <w:t xml:space="preserve"> autorių vertimai šiuose darbuose niekada nebuvo pagrindinė tema. Pranešime norėčiau pristatyti savo surinktą medžiagą apie verstinę </w:t>
            </w:r>
            <w:proofErr w:type="spellStart"/>
            <w:r w:rsidRPr="006A23E2">
              <w:rPr>
                <w:rFonts w:ascii="Times New Roman" w:hAnsi="Times New Roman" w:cs="Times New Roman"/>
                <w:iCs/>
              </w:rPr>
              <w:t>ispanakalbę</w:t>
            </w:r>
            <w:proofErr w:type="spellEnd"/>
            <w:r w:rsidRPr="006A23E2">
              <w:rPr>
                <w:rFonts w:ascii="Times New Roman" w:hAnsi="Times New Roman" w:cs="Times New Roman"/>
                <w:iCs/>
              </w:rPr>
              <w:t xml:space="preserve"> literatūrą, išleistą sovietinėje Lietuvoje (1940–1990). Tyrimo tikslas – atlikti kiekybinę ir kokybinę leidybos politikos ir vertimo sovietinėje Lietuvoje analizę, pasitelkiant verstinės ispanų literatūros bibliografiją. Jai sudaryti buvo peržiūrėti „Bibliografijos žinių“, „Lietuvos TSR knygos“, „Knygų metraščių“ ir „Spaudos metraščių“ leidiniai, tuomet apžiūrimos fizinės knygų kopijos. Leidybos ir vertimo tendencijoms nustatyti, taip pat paaiškinti ir interpretuoti pasitelkti moksliniai darbai šia tema bei „Spaudos statistikos“ leidiniai. Surinkti duomenys ir istorinis kontekstas leido išsiaiškinti, kiek knygų buvo išleista kiekvienu okupacijos laikotarpiu, kiek ir kokių autorių versta, taip pat ar buvo verčiama iš originalo, ar per tarpinę rusų kalbą. Įvaduose ir pabaigos tekstuose pateikta informacija leidžia interpretuoti autorių ir knygų atrankos kriterijus. Daroma išvada, kad turtinga ir ilga </w:t>
            </w:r>
            <w:proofErr w:type="spellStart"/>
            <w:r w:rsidRPr="006A23E2">
              <w:rPr>
                <w:rFonts w:ascii="Times New Roman" w:hAnsi="Times New Roman" w:cs="Times New Roman"/>
                <w:iCs/>
              </w:rPr>
              <w:t>ispanakalbių</w:t>
            </w:r>
            <w:proofErr w:type="spellEnd"/>
            <w:r w:rsidRPr="006A23E2">
              <w:rPr>
                <w:rFonts w:ascii="Times New Roman" w:hAnsi="Times New Roman" w:cs="Times New Roman"/>
                <w:iCs/>
              </w:rPr>
              <w:t xml:space="preserve"> šalių literatūros tradicija Lietuvos skaitytojams sovietmečiu buvo griežtai ribojama dėl ideologinės leidybos politikos ir atitinkamai taikomos vertimų cenzūros. Įgyvendinant griežtą vertimų cenzūrą, daugiausia buvo publikuojami tik istorinės reikšmės autoriai kaip </w:t>
            </w:r>
            <w:proofErr w:type="spellStart"/>
            <w:r w:rsidRPr="006A23E2">
              <w:rPr>
                <w:rFonts w:ascii="Times New Roman" w:hAnsi="Times New Roman" w:cs="Times New Roman"/>
                <w:iCs/>
              </w:rPr>
              <w:t>Cervantesas</w:t>
            </w:r>
            <w:proofErr w:type="spellEnd"/>
            <w:r w:rsidRPr="006A23E2">
              <w:rPr>
                <w:rFonts w:ascii="Times New Roman" w:hAnsi="Times New Roman" w:cs="Times New Roman"/>
                <w:iCs/>
              </w:rPr>
              <w:t xml:space="preserve"> ir tie, kurių kūryba neprieštaravo valstybės ideologijai. Vertimų bibliografijos analizė leidžia teigti, kad sovietinės kontrolės metais Lietuvoje </w:t>
            </w:r>
            <w:proofErr w:type="spellStart"/>
            <w:r w:rsidRPr="006A23E2">
              <w:rPr>
                <w:rFonts w:ascii="Times New Roman" w:hAnsi="Times New Roman" w:cs="Times New Roman"/>
                <w:iCs/>
              </w:rPr>
              <w:t>ispanakalbė</w:t>
            </w:r>
            <w:proofErr w:type="spellEnd"/>
            <w:r w:rsidRPr="006A23E2">
              <w:rPr>
                <w:rFonts w:ascii="Times New Roman" w:hAnsi="Times New Roman" w:cs="Times New Roman"/>
                <w:iCs/>
              </w:rPr>
              <w:t xml:space="preserve"> literatūra pristatyta fragmentiškai ir vienpusiškai.</w:t>
            </w:r>
          </w:p>
        </w:tc>
      </w:tr>
      <w:tr w:rsidR="00786532" w:rsidRPr="002B1880" w14:paraId="7795B71D" w14:textId="77777777" w:rsidTr="006A7CB9">
        <w:tc>
          <w:tcPr>
            <w:tcW w:w="880" w:type="dxa"/>
            <w:vAlign w:val="center"/>
          </w:tcPr>
          <w:p w14:paraId="2129748A" w14:textId="337436F4" w:rsidR="00786532" w:rsidRPr="002B1880" w:rsidRDefault="00786532" w:rsidP="00786532">
            <w:pPr>
              <w:spacing w:after="120"/>
              <w:jc w:val="both"/>
              <w:rPr>
                <w:rFonts w:ascii="Times New Roman" w:hAnsi="Times New Roman" w:cs="Times New Roman"/>
                <w:sz w:val="24"/>
                <w:szCs w:val="24"/>
              </w:rPr>
            </w:pPr>
            <w:r w:rsidRPr="002B1880">
              <w:rPr>
                <w:rFonts w:ascii="Times New Roman" w:hAnsi="Times New Roman" w:cs="Times New Roman"/>
                <w:sz w:val="24"/>
                <w:szCs w:val="24"/>
              </w:rPr>
              <w:t>10.</w:t>
            </w:r>
            <w:r>
              <w:rPr>
                <w:rFonts w:ascii="Times New Roman" w:hAnsi="Times New Roman" w:cs="Times New Roman"/>
                <w:sz w:val="24"/>
                <w:szCs w:val="24"/>
              </w:rPr>
              <w:t>00</w:t>
            </w:r>
          </w:p>
        </w:tc>
        <w:tc>
          <w:tcPr>
            <w:tcW w:w="9327" w:type="dxa"/>
          </w:tcPr>
          <w:p w14:paraId="0E71E1CC" w14:textId="26E0408B" w:rsidR="00786532" w:rsidRPr="00155B62" w:rsidRDefault="007F0F74" w:rsidP="00786532">
            <w:pPr>
              <w:spacing w:line="360" w:lineRule="auto"/>
              <w:jc w:val="both"/>
              <w:rPr>
                <w:rFonts w:ascii="Times New Roman" w:eastAsia="Calibri" w:hAnsi="Times New Roman" w:cs="Times New Roman"/>
                <w:b/>
                <w:bCs/>
                <w:sz w:val="24"/>
              </w:rPr>
            </w:pPr>
            <w:r w:rsidRPr="00155B62">
              <w:rPr>
                <w:rFonts w:ascii="Times New Roman" w:eastAsia="Calibri" w:hAnsi="Times New Roman" w:cs="Times New Roman"/>
                <w:b/>
                <w:bCs/>
                <w:sz w:val="24"/>
              </w:rPr>
              <w:t xml:space="preserve">Marius </w:t>
            </w:r>
            <w:proofErr w:type="spellStart"/>
            <w:r w:rsidRPr="00155B62">
              <w:rPr>
                <w:rFonts w:ascii="Times New Roman" w:eastAsia="Calibri" w:hAnsi="Times New Roman" w:cs="Times New Roman"/>
                <w:b/>
                <w:bCs/>
                <w:sz w:val="24"/>
              </w:rPr>
              <w:t>Šaučiūnas</w:t>
            </w:r>
            <w:proofErr w:type="spellEnd"/>
            <w:r w:rsidRPr="00155B62">
              <w:rPr>
                <w:rFonts w:ascii="Times New Roman" w:eastAsia="Calibri" w:hAnsi="Times New Roman" w:cs="Times New Roman"/>
                <w:b/>
                <w:bCs/>
                <w:sz w:val="24"/>
              </w:rPr>
              <w:t xml:space="preserve"> </w:t>
            </w:r>
            <w:r w:rsidR="00786532" w:rsidRPr="00155B62">
              <w:rPr>
                <w:rFonts w:ascii="Times New Roman" w:eastAsia="Calibri" w:hAnsi="Times New Roman" w:cs="Times New Roman"/>
                <w:b/>
                <w:bCs/>
                <w:sz w:val="24"/>
                <w:szCs w:val="24"/>
              </w:rPr>
              <w:t>(</w:t>
            </w:r>
            <w:r w:rsidRPr="00155B62">
              <w:rPr>
                <w:rFonts w:ascii="Times New Roman" w:eastAsia="Calibri" w:hAnsi="Times New Roman" w:cs="Times New Roman"/>
                <w:b/>
                <w:bCs/>
                <w:sz w:val="24"/>
                <w:szCs w:val="24"/>
              </w:rPr>
              <w:t>Vertimas MA II kursas</w:t>
            </w:r>
            <w:r w:rsidR="00786532" w:rsidRPr="00155B62">
              <w:rPr>
                <w:rFonts w:ascii="Times New Roman" w:eastAsia="Calibri" w:hAnsi="Times New Roman" w:cs="Times New Roman"/>
                <w:b/>
                <w:bCs/>
                <w:sz w:val="24"/>
                <w:szCs w:val="24"/>
              </w:rPr>
              <w:t>)</w:t>
            </w:r>
          </w:p>
          <w:p w14:paraId="4C911856" w14:textId="77777777" w:rsidR="00786532" w:rsidRDefault="00F64A45" w:rsidP="00A76E13">
            <w:pPr>
              <w:spacing w:line="360" w:lineRule="auto"/>
              <w:jc w:val="both"/>
              <w:rPr>
                <w:rFonts w:ascii="Times New Roman" w:hAnsi="Times New Roman" w:cs="Times New Roman"/>
                <w:b/>
                <w:bCs/>
                <w:i/>
                <w:iCs/>
                <w:sz w:val="24"/>
                <w:szCs w:val="24"/>
              </w:rPr>
            </w:pPr>
            <w:r w:rsidRPr="00155B62">
              <w:rPr>
                <w:rFonts w:ascii="Times New Roman" w:hAnsi="Times New Roman" w:cs="Times New Roman"/>
                <w:b/>
                <w:bCs/>
                <w:i/>
                <w:iCs/>
                <w:sz w:val="24"/>
                <w:szCs w:val="24"/>
              </w:rPr>
              <w:t xml:space="preserve">Gretinamoji tekstynais paremta anglų kalbos </w:t>
            </w:r>
            <w:proofErr w:type="spellStart"/>
            <w:r w:rsidRPr="00155B62">
              <w:rPr>
                <w:rFonts w:ascii="Times New Roman" w:hAnsi="Times New Roman" w:cs="Times New Roman"/>
                <w:b/>
                <w:bCs/>
                <w:i/>
                <w:iCs/>
                <w:sz w:val="24"/>
                <w:szCs w:val="24"/>
              </w:rPr>
              <w:t>episteminių</w:t>
            </w:r>
            <w:proofErr w:type="spellEnd"/>
            <w:r w:rsidRPr="00155B62">
              <w:rPr>
                <w:rFonts w:ascii="Times New Roman" w:hAnsi="Times New Roman" w:cs="Times New Roman"/>
                <w:b/>
                <w:bCs/>
                <w:i/>
                <w:iCs/>
                <w:sz w:val="24"/>
                <w:szCs w:val="24"/>
              </w:rPr>
              <w:t xml:space="preserve"> </w:t>
            </w:r>
            <w:proofErr w:type="spellStart"/>
            <w:r w:rsidRPr="00155B62">
              <w:rPr>
                <w:rFonts w:ascii="Times New Roman" w:hAnsi="Times New Roman" w:cs="Times New Roman"/>
                <w:b/>
                <w:bCs/>
                <w:i/>
                <w:iCs/>
                <w:sz w:val="24"/>
                <w:szCs w:val="24"/>
              </w:rPr>
              <w:t>prieveiksmių</w:t>
            </w:r>
            <w:proofErr w:type="spellEnd"/>
            <w:r w:rsidRPr="00155B62">
              <w:rPr>
                <w:rFonts w:ascii="Times New Roman" w:hAnsi="Times New Roman" w:cs="Times New Roman"/>
                <w:b/>
                <w:bCs/>
                <w:i/>
                <w:iCs/>
                <w:sz w:val="24"/>
                <w:szCs w:val="24"/>
              </w:rPr>
              <w:t xml:space="preserve"> </w:t>
            </w:r>
            <w:r w:rsidR="007F2D29" w:rsidRPr="00155B62">
              <w:rPr>
                <w:rFonts w:ascii="Times New Roman" w:hAnsi="Times New Roman" w:cs="Times New Roman"/>
                <w:b/>
                <w:bCs/>
                <w:i/>
                <w:iCs/>
                <w:sz w:val="24"/>
                <w:szCs w:val="24"/>
              </w:rPr>
              <w:t>PROBABLY</w:t>
            </w:r>
            <w:r w:rsidRPr="00155B62">
              <w:rPr>
                <w:rFonts w:ascii="Times New Roman" w:hAnsi="Times New Roman" w:cs="Times New Roman"/>
                <w:b/>
                <w:bCs/>
                <w:i/>
                <w:iCs/>
                <w:sz w:val="24"/>
                <w:szCs w:val="24"/>
              </w:rPr>
              <w:t xml:space="preserve">, </w:t>
            </w:r>
            <w:r w:rsidR="007F2D29" w:rsidRPr="00155B62">
              <w:rPr>
                <w:rFonts w:ascii="Times New Roman" w:hAnsi="Times New Roman" w:cs="Times New Roman"/>
                <w:b/>
                <w:bCs/>
                <w:i/>
                <w:iCs/>
                <w:sz w:val="24"/>
                <w:szCs w:val="24"/>
              </w:rPr>
              <w:t>POSSIBLY</w:t>
            </w:r>
            <w:r w:rsidRPr="00155B62">
              <w:rPr>
                <w:rFonts w:ascii="Times New Roman" w:hAnsi="Times New Roman" w:cs="Times New Roman"/>
                <w:b/>
                <w:bCs/>
                <w:i/>
                <w:iCs/>
                <w:sz w:val="24"/>
                <w:szCs w:val="24"/>
              </w:rPr>
              <w:t xml:space="preserve"> ir </w:t>
            </w:r>
            <w:r w:rsidR="007F2D29" w:rsidRPr="00155B62">
              <w:rPr>
                <w:rFonts w:ascii="Times New Roman" w:hAnsi="Times New Roman" w:cs="Times New Roman"/>
                <w:b/>
                <w:bCs/>
                <w:i/>
                <w:iCs/>
                <w:sz w:val="24"/>
                <w:szCs w:val="24"/>
              </w:rPr>
              <w:t>APPARENTLY</w:t>
            </w:r>
            <w:r w:rsidRPr="00155B62">
              <w:rPr>
                <w:rFonts w:ascii="Times New Roman" w:hAnsi="Times New Roman" w:cs="Times New Roman"/>
                <w:b/>
                <w:bCs/>
                <w:i/>
                <w:iCs/>
                <w:sz w:val="24"/>
                <w:szCs w:val="24"/>
              </w:rPr>
              <w:t xml:space="preserve"> semantikos ir vertimo į lietuvių kalbą analizė</w:t>
            </w:r>
          </w:p>
          <w:p w14:paraId="00FCA6C0" w14:textId="761C8A08" w:rsidR="00155B62" w:rsidRPr="00155B62" w:rsidRDefault="00B6455A" w:rsidP="00155B62">
            <w:pPr>
              <w:jc w:val="both"/>
              <w:rPr>
                <w:rFonts w:ascii="Times New Roman" w:hAnsi="Times New Roman" w:cs="Times New Roman"/>
              </w:rPr>
            </w:pPr>
            <w:r w:rsidRPr="00B6455A">
              <w:rPr>
                <w:rFonts w:ascii="Times New Roman" w:hAnsi="Times New Roman" w:cs="Times New Roman"/>
              </w:rPr>
              <w:t xml:space="preserve">Šiame pranešime pristatoma gretinamoji tekstynais paremta anglų kalbos </w:t>
            </w:r>
            <w:proofErr w:type="spellStart"/>
            <w:r w:rsidRPr="00B6455A">
              <w:rPr>
                <w:rFonts w:ascii="Times New Roman" w:hAnsi="Times New Roman" w:cs="Times New Roman"/>
              </w:rPr>
              <w:t>episteminių</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prieveiksmių</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probably</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possibly</w:t>
            </w:r>
            <w:proofErr w:type="spellEnd"/>
            <w:r w:rsidRPr="00B6455A">
              <w:rPr>
                <w:rFonts w:ascii="Times New Roman" w:hAnsi="Times New Roman" w:cs="Times New Roman"/>
              </w:rPr>
              <w:t xml:space="preserve"> ir </w:t>
            </w:r>
            <w:proofErr w:type="spellStart"/>
            <w:r w:rsidRPr="00B6455A">
              <w:rPr>
                <w:rFonts w:ascii="Times New Roman" w:hAnsi="Times New Roman" w:cs="Times New Roman"/>
              </w:rPr>
              <w:t>apparently</w:t>
            </w:r>
            <w:proofErr w:type="spellEnd"/>
            <w:r w:rsidRPr="00B6455A">
              <w:rPr>
                <w:rFonts w:ascii="Times New Roman" w:hAnsi="Times New Roman" w:cs="Times New Roman"/>
              </w:rPr>
              <w:t xml:space="preserve"> semantikos ir vertimo į lietuvių kalbą analizė. Modalumas yra svarbi semantinė priemonė, leidžianti kalbėtojui išreikšti subjektyvų požiūrį ir įvertinti kaip ir kiek ji atitinka tikrovę. Šiame pranešime konkrečiau kalbama apie </w:t>
            </w:r>
            <w:proofErr w:type="spellStart"/>
            <w:r w:rsidRPr="00B6455A">
              <w:rPr>
                <w:rFonts w:ascii="Times New Roman" w:hAnsi="Times New Roman" w:cs="Times New Roman"/>
              </w:rPr>
              <w:t>episteminius</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prieveiksmius</w:t>
            </w:r>
            <w:proofErr w:type="spellEnd"/>
            <w:r w:rsidRPr="00B6455A">
              <w:rPr>
                <w:rFonts w:ascii="Times New Roman" w:hAnsi="Times New Roman" w:cs="Times New Roman"/>
              </w:rPr>
              <w:t xml:space="preserve"> anglų kalboje (</w:t>
            </w:r>
            <w:proofErr w:type="spellStart"/>
            <w:r w:rsidRPr="00B6455A">
              <w:rPr>
                <w:rFonts w:ascii="Times New Roman" w:hAnsi="Times New Roman" w:cs="Times New Roman"/>
              </w:rPr>
              <w:t>probably</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possibly</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apparently</w:t>
            </w:r>
            <w:proofErr w:type="spellEnd"/>
            <w:r w:rsidRPr="00B6455A">
              <w:rPr>
                <w:rFonts w:ascii="Times New Roman" w:hAnsi="Times New Roman" w:cs="Times New Roman"/>
              </w:rPr>
              <w:t xml:space="preserve">): šio tipo modaliniais </w:t>
            </w:r>
            <w:proofErr w:type="spellStart"/>
            <w:r w:rsidRPr="00B6455A">
              <w:rPr>
                <w:rFonts w:ascii="Times New Roman" w:hAnsi="Times New Roman" w:cs="Times New Roman"/>
              </w:rPr>
              <w:t>prieveiksmiais</w:t>
            </w:r>
            <w:proofErr w:type="spellEnd"/>
            <w:r w:rsidRPr="00B6455A">
              <w:rPr>
                <w:rFonts w:ascii="Times New Roman" w:hAnsi="Times New Roman" w:cs="Times New Roman"/>
              </w:rPr>
              <w:t xml:space="preserve"> ir žodžiais išreiškiamos kalbėtojo turimos žinios, įsitikinimai, tam tikros situacijos santykis su tikrove, subjektyvumas ir pasakoma tiesa ar netiesa apie tam tikrą įvykį ar situaciją. Ši tema aktuali tuo, jog </w:t>
            </w:r>
            <w:proofErr w:type="spellStart"/>
            <w:r w:rsidRPr="00B6455A">
              <w:rPr>
                <w:rFonts w:ascii="Times New Roman" w:hAnsi="Times New Roman" w:cs="Times New Roman"/>
              </w:rPr>
              <w:t>episteminiai</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prieveiksmiai</w:t>
            </w:r>
            <w:proofErr w:type="spellEnd"/>
            <w:r w:rsidRPr="00B6455A">
              <w:rPr>
                <w:rFonts w:ascii="Times New Roman" w:hAnsi="Times New Roman" w:cs="Times New Roman"/>
              </w:rPr>
              <w:t xml:space="preserve"> ir žodžiai nėra labai plačiai ir išsamiai nagrinėjama tema, o </w:t>
            </w:r>
            <w:proofErr w:type="spellStart"/>
            <w:r w:rsidRPr="00B6455A">
              <w:rPr>
                <w:rFonts w:ascii="Times New Roman" w:hAnsi="Times New Roman" w:cs="Times New Roman"/>
              </w:rPr>
              <w:t>epistemiškumas</w:t>
            </w:r>
            <w:proofErr w:type="spellEnd"/>
            <w:r w:rsidRPr="00B6455A">
              <w:rPr>
                <w:rFonts w:ascii="Times New Roman" w:hAnsi="Times New Roman" w:cs="Times New Roman"/>
              </w:rPr>
              <w:t xml:space="preserve"> yra labai svarbus anglakalbių šalių kalbėtojams, nes jiems labai svarbu kalboje išlaikyti mandagumą, toleranciją kitoms nuomonėms ir siekiama vengti kategoriškumo ir tvirtos nuomonės (tai lėmė </w:t>
            </w:r>
            <w:proofErr w:type="spellStart"/>
            <w:r w:rsidRPr="00B6455A">
              <w:rPr>
                <w:rFonts w:ascii="Times New Roman" w:hAnsi="Times New Roman" w:cs="Times New Roman"/>
              </w:rPr>
              <w:t>Dž</w:t>
            </w:r>
            <w:proofErr w:type="spellEnd"/>
            <w:r w:rsidRPr="00B6455A">
              <w:rPr>
                <w:rFonts w:ascii="Times New Roman" w:hAnsi="Times New Roman" w:cs="Times New Roman"/>
              </w:rPr>
              <w:t xml:space="preserve">. </w:t>
            </w:r>
            <w:proofErr w:type="spellStart"/>
            <w:r w:rsidRPr="00B6455A">
              <w:rPr>
                <w:rFonts w:ascii="Times New Roman" w:hAnsi="Times New Roman" w:cs="Times New Roman"/>
              </w:rPr>
              <w:t>Locke‘o</w:t>
            </w:r>
            <w:proofErr w:type="spellEnd"/>
            <w:r w:rsidRPr="00B6455A">
              <w:rPr>
                <w:rFonts w:ascii="Times New Roman" w:hAnsi="Times New Roman" w:cs="Times New Roman"/>
              </w:rPr>
              <w:t xml:space="preserve"> filosofijos pažinimo teorija, kurios pagrindiniai aspektai yra mąstymas, žinių siekimas ir supratimas, jog tiesa yra reliatyvi , o gyvenimas– racionalus). Šiame tyrime plačiau kalbama apie </w:t>
            </w:r>
            <w:proofErr w:type="spellStart"/>
            <w:r w:rsidRPr="00B6455A">
              <w:rPr>
                <w:rFonts w:ascii="Times New Roman" w:hAnsi="Times New Roman" w:cs="Times New Roman"/>
              </w:rPr>
              <w:t>epistemiškumo</w:t>
            </w:r>
            <w:proofErr w:type="spellEnd"/>
            <w:r w:rsidRPr="00B6455A">
              <w:rPr>
                <w:rFonts w:ascii="Times New Roman" w:hAnsi="Times New Roman" w:cs="Times New Roman"/>
              </w:rPr>
              <w:t xml:space="preserve"> ir modalumo svarbą anglų ir lietuvių kalbose, apie jų semantines ir gramatines savybes ir modalinių žodžių skirstymą. Praktinėje dalyje pristatoma kiekybinė ir kokybinė analizė: naudojantis VDU gretinamuoju tekstynu (autentišku, objektyviu ir tendencijas atskleidžiančiu šaltiniu) analizuojama, kaip šie žodžiai išverčiami į lietuvių kalbą – ar vertimuose išlieka modalumo dažnumo skirtumų, ar verčiama pagal kažkokias tendencijas (kokie dažniausiai ar rečiausiai pasitaikantys vertimo variantai) ar tiesiog ieškoma įvairių sinonimų, ir ar išlaikoma originalo kalbos frazės reikšmė.</w:t>
            </w:r>
          </w:p>
        </w:tc>
      </w:tr>
      <w:tr w:rsidR="00786532" w:rsidRPr="002B1880" w14:paraId="2C9187C5" w14:textId="77777777" w:rsidTr="006A7CB9">
        <w:tc>
          <w:tcPr>
            <w:tcW w:w="880" w:type="dxa"/>
            <w:vAlign w:val="center"/>
          </w:tcPr>
          <w:p w14:paraId="459EC98C" w14:textId="2E1A597D" w:rsidR="00786532" w:rsidRPr="002B1880" w:rsidRDefault="00786532" w:rsidP="00786532">
            <w:pPr>
              <w:spacing w:after="120"/>
              <w:jc w:val="both"/>
              <w:rPr>
                <w:rFonts w:ascii="Times New Roman" w:hAnsi="Times New Roman" w:cs="Times New Roman"/>
                <w:sz w:val="24"/>
                <w:szCs w:val="24"/>
              </w:rPr>
            </w:pPr>
            <w:r w:rsidRPr="002B1880">
              <w:rPr>
                <w:rFonts w:ascii="Times New Roman" w:hAnsi="Times New Roman" w:cs="Times New Roman"/>
                <w:sz w:val="24"/>
                <w:szCs w:val="24"/>
              </w:rPr>
              <w:lastRenderedPageBreak/>
              <w:t>10.</w:t>
            </w:r>
            <w:r>
              <w:rPr>
                <w:rFonts w:ascii="Times New Roman" w:hAnsi="Times New Roman" w:cs="Times New Roman"/>
                <w:sz w:val="24"/>
                <w:szCs w:val="24"/>
              </w:rPr>
              <w:t>25</w:t>
            </w:r>
          </w:p>
        </w:tc>
        <w:tc>
          <w:tcPr>
            <w:tcW w:w="9327" w:type="dxa"/>
          </w:tcPr>
          <w:p w14:paraId="238FDE92" w14:textId="308B56C1" w:rsidR="00786532" w:rsidRPr="00A926F0" w:rsidRDefault="00281A9B" w:rsidP="00786532">
            <w:pPr>
              <w:spacing w:line="360" w:lineRule="auto"/>
              <w:jc w:val="both"/>
              <w:rPr>
                <w:rFonts w:ascii="Times New Roman" w:eastAsia="Calibri" w:hAnsi="Times New Roman" w:cs="Times New Roman"/>
                <w:b/>
                <w:bCs/>
                <w:sz w:val="24"/>
              </w:rPr>
            </w:pPr>
            <w:r w:rsidRPr="00A926F0">
              <w:rPr>
                <w:rFonts w:ascii="Times New Roman" w:eastAsia="Calibri" w:hAnsi="Times New Roman" w:cs="Times New Roman"/>
                <w:b/>
                <w:bCs/>
                <w:sz w:val="24"/>
              </w:rPr>
              <w:t xml:space="preserve">Eglė </w:t>
            </w:r>
            <w:proofErr w:type="spellStart"/>
            <w:r w:rsidRPr="00A926F0">
              <w:rPr>
                <w:rFonts w:ascii="Times New Roman" w:eastAsia="Calibri" w:hAnsi="Times New Roman" w:cs="Times New Roman"/>
                <w:b/>
                <w:bCs/>
                <w:sz w:val="24"/>
              </w:rPr>
              <w:t>Ingelevičiūtė</w:t>
            </w:r>
            <w:proofErr w:type="spellEnd"/>
            <w:r w:rsidRPr="00A926F0">
              <w:rPr>
                <w:rFonts w:ascii="Times New Roman" w:eastAsia="Calibri" w:hAnsi="Times New Roman" w:cs="Times New Roman"/>
                <w:b/>
                <w:bCs/>
                <w:sz w:val="24"/>
              </w:rPr>
              <w:t xml:space="preserve"> </w:t>
            </w:r>
            <w:r w:rsidR="00786532" w:rsidRPr="00A926F0">
              <w:rPr>
                <w:rFonts w:ascii="Times New Roman" w:eastAsia="Calibri" w:hAnsi="Times New Roman" w:cs="Times New Roman"/>
                <w:b/>
                <w:bCs/>
                <w:sz w:val="24"/>
              </w:rPr>
              <w:t>(</w:t>
            </w:r>
            <w:r w:rsidRPr="00A926F0">
              <w:rPr>
                <w:rFonts w:ascii="Times New Roman" w:eastAsia="Calibri" w:hAnsi="Times New Roman" w:cs="Times New Roman"/>
                <w:b/>
                <w:bCs/>
                <w:sz w:val="24"/>
                <w:szCs w:val="24"/>
              </w:rPr>
              <w:t>Vertimas MA II kursas</w:t>
            </w:r>
            <w:r w:rsidR="00786532" w:rsidRPr="00A926F0">
              <w:rPr>
                <w:rFonts w:ascii="Times New Roman" w:eastAsia="Calibri" w:hAnsi="Times New Roman" w:cs="Times New Roman"/>
                <w:b/>
                <w:bCs/>
                <w:sz w:val="24"/>
              </w:rPr>
              <w:t xml:space="preserve">) </w:t>
            </w:r>
          </w:p>
          <w:p w14:paraId="05DFA325" w14:textId="77777777" w:rsidR="00786532" w:rsidRPr="00A926F0" w:rsidRDefault="007F2D29" w:rsidP="00A76E13">
            <w:pPr>
              <w:spacing w:line="360" w:lineRule="auto"/>
              <w:jc w:val="both"/>
              <w:rPr>
                <w:rFonts w:ascii="Times New Roman" w:hAnsi="Times New Roman" w:cs="Times New Roman"/>
                <w:b/>
                <w:i/>
                <w:iCs/>
                <w:sz w:val="24"/>
                <w:szCs w:val="24"/>
              </w:rPr>
            </w:pPr>
            <w:r w:rsidRPr="00A926F0">
              <w:rPr>
                <w:rFonts w:ascii="Times New Roman" w:hAnsi="Times New Roman" w:cs="Times New Roman"/>
                <w:b/>
                <w:i/>
                <w:iCs/>
                <w:sz w:val="24"/>
                <w:szCs w:val="24"/>
              </w:rPr>
              <w:t>Tekstynais paremtas aiškinamųjų jungtukų SO, THUS ir THEREFORE vartosenos grožinėje literatūroje anglų kalba bei jų vertimo į lietuvių kalbą tyrimas</w:t>
            </w:r>
          </w:p>
          <w:p w14:paraId="5914C957" w14:textId="77777777" w:rsidR="00A926F0" w:rsidRPr="00A926F0" w:rsidRDefault="00A926F0" w:rsidP="00A926F0">
            <w:pPr>
              <w:jc w:val="both"/>
              <w:rPr>
                <w:rFonts w:ascii="Times New Roman" w:hAnsi="Times New Roman" w:cs="Times New Roman"/>
                <w:bCs/>
              </w:rPr>
            </w:pPr>
            <w:r w:rsidRPr="00A926F0">
              <w:rPr>
                <w:rFonts w:ascii="Times New Roman" w:hAnsi="Times New Roman" w:cs="Times New Roman"/>
                <w:bCs/>
              </w:rPr>
              <w:t xml:space="preserve">Pranešime pristatomo magistro darbe išsikeltas tikslas – ištirti aiškinamųjų jungtukų </w:t>
            </w:r>
            <w:proofErr w:type="spellStart"/>
            <w:r w:rsidRPr="00A926F0">
              <w:rPr>
                <w:rFonts w:ascii="Times New Roman" w:hAnsi="Times New Roman" w:cs="Times New Roman"/>
                <w:bCs/>
              </w:rPr>
              <w:t>so</w:t>
            </w:r>
            <w:proofErr w:type="spellEnd"/>
            <w:r w:rsidRPr="00A926F0">
              <w:rPr>
                <w:rFonts w:ascii="Times New Roman" w:hAnsi="Times New Roman" w:cs="Times New Roman"/>
                <w:bCs/>
              </w:rPr>
              <w:t xml:space="preserve">, </w:t>
            </w:r>
            <w:proofErr w:type="spellStart"/>
            <w:r w:rsidRPr="00A926F0">
              <w:rPr>
                <w:rFonts w:ascii="Times New Roman" w:hAnsi="Times New Roman" w:cs="Times New Roman"/>
                <w:bCs/>
              </w:rPr>
              <w:t>thus</w:t>
            </w:r>
            <w:proofErr w:type="spellEnd"/>
            <w:r w:rsidRPr="00A926F0">
              <w:rPr>
                <w:rFonts w:ascii="Times New Roman" w:hAnsi="Times New Roman" w:cs="Times New Roman"/>
                <w:bCs/>
              </w:rPr>
              <w:t xml:space="preserve"> ir </w:t>
            </w:r>
            <w:proofErr w:type="spellStart"/>
            <w:r w:rsidRPr="00A926F0">
              <w:rPr>
                <w:rFonts w:ascii="Times New Roman" w:hAnsi="Times New Roman" w:cs="Times New Roman"/>
                <w:bCs/>
              </w:rPr>
              <w:t>therefore</w:t>
            </w:r>
            <w:proofErr w:type="spellEnd"/>
            <w:r w:rsidRPr="00A926F0">
              <w:rPr>
                <w:rFonts w:ascii="Times New Roman" w:hAnsi="Times New Roman" w:cs="Times New Roman"/>
                <w:bCs/>
              </w:rPr>
              <w:t xml:space="preserve"> vartoseną grožinėje literatūroje anglų kalba ir jų vertimą į lietuvių kalbą remiantis tekstynais. Jungtukai yra labai svarbi rišlaus teksto dalis. Tačiau jungtukų vertimas į lietuvių kalbą ir lietuviški jungtukai nėra plačiai ištirti, ypač remiantis tekstynais. Darbe siekiama išsiaiškinti, kuo skiriasi aiškinamieji jungtukai </w:t>
            </w:r>
            <w:proofErr w:type="spellStart"/>
            <w:r w:rsidRPr="00A926F0">
              <w:rPr>
                <w:rFonts w:ascii="Times New Roman" w:hAnsi="Times New Roman" w:cs="Times New Roman"/>
                <w:bCs/>
              </w:rPr>
              <w:t>so</w:t>
            </w:r>
            <w:proofErr w:type="spellEnd"/>
            <w:r w:rsidRPr="00A926F0">
              <w:rPr>
                <w:rFonts w:ascii="Times New Roman" w:hAnsi="Times New Roman" w:cs="Times New Roman"/>
                <w:bCs/>
              </w:rPr>
              <w:t xml:space="preserve">, </w:t>
            </w:r>
            <w:proofErr w:type="spellStart"/>
            <w:r w:rsidRPr="00A926F0">
              <w:rPr>
                <w:rFonts w:ascii="Times New Roman" w:hAnsi="Times New Roman" w:cs="Times New Roman"/>
                <w:bCs/>
              </w:rPr>
              <w:t>thus</w:t>
            </w:r>
            <w:proofErr w:type="spellEnd"/>
            <w:r w:rsidRPr="00A926F0">
              <w:rPr>
                <w:rFonts w:ascii="Times New Roman" w:hAnsi="Times New Roman" w:cs="Times New Roman"/>
                <w:bCs/>
              </w:rPr>
              <w:t xml:space="preserve"> ir </w:t>
            </w:r>
            <w:proofErr w:type="spellStart"/>
            <w:r w:rsidRPr="00A926F0">
              <w:rPr>
                <w:rFonts w:ascii="Times New Roman" w:hAnsi="Times New Roman" w:cs="Times New Roman"/>
                <w:bCs/>
              </w:rPr>
              <w:t>therefore</w:t>
            </w:r>
            <w:proofErr w:type="spellEnd"/>
            <w:r w:rsidRPr="00A926F0">
              <w:rPr>
                <w:rFonts w:ascii="Times New Roman" w:hAnsi="Times New Roman" w:cs="Times New Roman"/>
                <w:bCs/>
              </w:rPr>
              <w:t xml:space="preserve"> ir kaip jie verčiami į lietuvių kalbą. Tiriant aiškinamųjų jungtukų vartoseną ir vertimą buvo naudojamasi Lygiagrečiuoju tekstynu, o tiriant šių jungtukų atitikmenis lietuvių kalboje – Dabartinės lietuvių kalbos tekstynu.</w:t>
            </w:r>
          </w:p>
          <w:p w14:paraId="5933A017" w14:textId="0D7CE766" w:rsidR="00EF07FD" w:rsidRPr="00EF07FD" w:rsidRDefault="00A926F0" w:rsidP="00A926F0">
            <w:pPr>
              <w:jc w:val="both"/>
              <w:rPr>
                <w:rFonts w:ascii="Times New Roman" w:hAnsi="Times New Roman" w:cs="Times New Roman"/>
                <w:bCs/>
              </w:rPr>
            </w:pPr>
            <w:r w:rsidRPr="00A926F0">
              <w:rPr>
                <w:rFonts w:ascii="Times New Roman" w:hAnsi="Times New Roman" w:cs="Times New Roman"/>
                <w:bCs/>
              </w:rPr>
              <w:t xml:space="preserve">Atlikus kiekybinę ir kokybinę aiškinamųjų jungtukų </w:t>
            </w:r>
            <w:proofErr w:type="spellStart"/>
            <w:r w:rsidRPr="00A926F0">
              <w:rPr>
                <w:rFonts w:ascii="Times New Roman" w:hAnsi="Times New Roman" w:cs="Times New Roman"/>
                <w:bCs/>
              </w:rPr>
              <w:t>so</w:t>
            </w:r>
            <w:proofErr w:type="spellEnd"/>
            <w:r w:rsidRPr="00A926F0">
              <w:rPr>
                <w:rFonts w:ascii="Times New Roman" w:hAnsi="Times New Roman" w:cs="Times New Roman"/>
                <w:bCs/>
              </w:rPr>
              <w:t xml:space="preserve">, </w:t>
            </w:r>
            <w:proofErr w:type="spellStart"/>
            <w:r w:rsidRPr="00A926F0">
              <w:rPr>
                <w:rFonts w:ascii="Times New Roman" w:hAnsi="Times New Roman" w:cs="Times New Roman"/>
                <w:bCs/>
              </w:rPr>
              <w:t>thus</w:t>
            </w:r>
            <w:proofErr w:type="spellEnd"/>
            <w:r w:rsidRPr="00A926F0">
              <w:rPr>
                <w:rFonts w:ascii="Times New Roman" w:hAnsi="Times New Roman" w:cs="Times New Roman"/>
                <w:bCs/>
              </w:rPr>
              <w:t xml:space="preserve"> ir </w:t>
            </w:r>
            <w:proofErr w:type="spellStart"/>
            <w:r w:rsidRPr="00A926F0">
              <w:rPr>
                <w:rFonts w:ascii="Times New Roman" w:hAnsi="Times New Roman" w:cs="Times New Roman"/>
                <w:bCs/>
              </w:rPr>
              <w:t>therefore</w:t>
            </w:r>
            <w:proofErr w:type="spellEnd"/>
            <w:r w:rsidRPr="00A926F0">
              <w:rPr>
                <w:rFonts w:ascii="Times New Roman" w:hAnsi="Times New Roman" w:cs="Times New Roman"/>
                <w:bCs/>
              </w:rPr>
              <w:t xml:space="preserve"> ir jų atitikmenų lietuvių kalba analizę, buvo nustatyti jungtukų vartosenos bei vertimo į lietuvių kalbų ypatumai. Nustatyta, kad verčiant jungtukus grožinėje literatūroje į lietuvių kalbą praleidimas yra dažnas vertimo būdas, ilgi sakiniai dažnai skaidomi ties jungtukais, o lietuviški </w:t>
            </w:r>
            <w:proofErr w:type="spellStart"/>
            <w:r w:rsidRPr="00A926F0">
              <w:rPr>
                <w:rFonts w:ascii="Times New Roman" w:hAnsi="Times New Roman" w:cs="Times New Roman"/>
                <w:bCs/>
              </w:rPr>
              <w:t>so</w:t>
            </w:r>
            <w:proofErr w:type="spellEnd"/>
            <w:r w:rsidRPr="00A926F0">
              <w:rPr>
                <w:rFonts w:ascii="Times New Roman" w:hAnsi="Times New Roman" w:cs="Times New Roman"/>
                <w:bCs/>
              </w:rPr>
              <w:t xml:space="preserve">, </w:t>
            </w:r>
            <w:proofErr w:type="spellStart"/>
            <w:r w:rsidRPr="00A926F0">
              <w:rPr>
                <w:rFonts w:ascii="Times New Roman" w:hAnsi="Times New Roman" w:cs="Times New Roman"/>
                <w:bCs/>
              </w:rPr>
              <w:t>thus</w:t>
            </w:r>
            <w:proofErr w:type="spellEnd"/>
            <w:r w:rsidRPr="00A926F0">
              <w:rPr>
                <w:rFonts w:ascii="Times New Roman" w:hAnsi="Times New Roman" w:cs="Times New Roman"/>
                <w:bCs/>
              </w:rPr>
              <w:t xml:space="preserve"> ir </w:t>
            </w:r>
            <w:proofErr w:type="spellStart"/>
            <w:r w:rsidRPr="00A926F0">
              <w:rPr>
                <w:rFonts w:ascii="Times New Roman" w:hAnsi="Times New Roman" w:cs="Times New Roman"/>
                <w:bCs/>
              </w:rPr>
              <w:t>therefore</w:t>
            </w:r>
            <w:proofErr w:type="spellEnd"/>
            <w:r w:rsidRPr="00A926F0">
              <w:rPr>
                <w:rFonts w:ascii="Times New Roman" w:hAnsi="Times New Roman" w:cs="Times New Roman"/>
                <w:bCs/>
              </w:rPr>
              <w:t xml:space="preserve"> atitikmenys tad, taigi ir todėl sudaro kolokacijas su skirtingais žodžiais ir yra skirtinguose registruose vartojami skirtingai.</w:t>
            </w:r>
          </w:p>
        </w:tc>
      </w:tr>
      <w:tr w:rsidR="00786532" w:rsidRPr="002B1880" w14:paraId="6F8B6424" w14:textId="77777777" w:rsidTr="006A7CB9">
        <w:tc>
          <w:tcPr>
            <w:tcW w:w="880" w:type="dxa"/>
            <w:vAlign w:val="center"/>
          </w:tcPr>
          <w:p w14:paraId="5F456440" w14:textId="1C570215" w:rsidR="00786532" w:rsidRPr="002B1880" w:rsidRDefault="00786532" w:rsidP="00786532">
            <w:pPr>
              <w:spacing w:after="120"/>
              <w:jc w:val="both"/>
              <w:rPr>
                <w:rFonts w:ascii="Times New Roman" w:hAnsi="Times New Roman" w:cs="Times New Roman"/>
                <w:sz w:val="24"/>
                <w:szCs w:val="24"/>
              </w:rPr>
            </w:pPr>
            <w:r>
              <w:rPr>
                <w:rFonts w:ascii="Times New Roman" w:hAnsi="Times New Roman" w:cs="Times New Roman"/>
                <w:sz w:val="24"/>
                <w:szCs w:val="24"/>
              </w:rPr>
              <w:t>10.50</w:t>
            </w:r>
          </w:p>
        </w:tc>
        <w:tc>
          <w:tcPr>
            <w:tcW w:w="9327" w:type="dxa"/>
          </w:tcPr>
          <w:p w14:paraId="7D16AA6C" w14:textId="77777777" w:rsidR="009E6DC5" w:rsidRPr="00EF07FD" w:rsidRDefault="009E6DC5" w:rsidP="009E6DC5">
            <w:pPr>
              <w:spacing w:line="360" w:lineRule="auto"/>
              <w:jc w:val="both"/>
              <w:rPr>
                <w:rFonts w:ascii="Times New Roman" w:eastAsia="Calibri" w:hAnsi="Times New Roman" w:cs="Times New Roman"/>
                <w:b/>
                <w:bCs/>
                <w:sz w:val="24"/>
                <w:szCs w:val="24"/>
              </w:rPr>
            </w:pPr>
            <w:r w:rsidRPr="00EF07FD">
              <w:rPr>
                <w:rFonts w:ascii="Times New Roman" w:eastAsia="Calibri" w:hAnsi="Times New Roman" w:cs="Times New Roman"/>
                <w:b/>
                <w:bCs/>
                <w:sz w:val="24"/>
                <w:szCs w:val="24"/>
              </w:rPr>
              <w:t>Dalia Lapinskaitė (Vertimas MA II kursas)</w:t>
            </w:r>
          </w:p>
          <w:p w14:paraId="7B4E7057" w14:textId="77777777" w:rsidR="00786532" w:rsidRPr="00EF07FD" w:rsidRDefault="009E6DC5" w:rsidP="009E6DC5">
            <w:pPr>
              <w:spacing w:line="360" w:lineRule="auto"/>
              <w:jc w:val="both"/>
              <w:rPr>
                <w:rFonts w:ascii="Times New Roman" w:eastAsia="Calibri" w:hAnsi="Times New Roman" w:cs="Times New Roman"/>
                <w:b/>
                <w:bCs/>
                <w:i/>
                <w:iCs/>
                <w:sz w:val="24"/>
                <w:szCs w:val="24"/>
              </w:rPr>
            </w:pPr>
            <w:r w:rsidRPr="00EF07FD">
              <w:rPr>
                <w:rFonts w:ascii="Times New Roman" w:eastAsia="Calibri" w:hAnsi="Times New Roman" w:cs="Times New Roman"/>
                <w:b/>
                <w:bCs/>
                <w:i/>
                <w:iCs/>
                <w:sz w:val="24"/>
                <w:szCs w:val="24"/>
              </w:rPr>
              <w:t>MAIK „</w:t>
            </w:r>
            <w:proofErr w:type="spellStart"/>
            <w:r w:rsidRPr="00EF07FD">
              <w:rPr>
                <w:rFonts w:ascii="Times New Roman" w:eastAsia="Calibri" w:hAnsi="Times New Roman" w:cs="Times New Roman"/>
                <w:b/>
                <w:bCs/>
                <w:i/>
                <w:iCs/>
                <w:sz w:val="24"/>
                <w:szCs w:val="24"/>
              </w:rPr>
              <w:t>Coursera</w:t>
            </w:r>
            <w:proofErr w:type="spellEnd"/>
            <w:r w:rsidRPr="00EF07FD">
              <w:rPr>
                <w:rFonts w:ascii="Times New Roman" w:eastAsia="Calibri" w:hAnsi="Times New Roman" w:cs="Times New Roman"/>
                <w:b/>
                <w:bCs/>
                <w:i/>
                <w:iCs/>
                <w:sz w:val="24"/>
                <w:szCs w:val="24"/>
              </w:rPr>
              <w:t xml:space="preserve">” turinio </w:t>
            </w:r>
            <w:proofErr w:type="spellStart"/>
            <w:r w:rsidRPr="00EF07FD">
              <w:rPr>
                <w:rFonts w:ascii="Times New Roman" w:eastAsia="Calibri" w:hAnsi="Times New Roman" w:cs="Times New Roman"/>
                <w:b/>
                <w:bCs/>
                <w:i/>
                <w:iCs/>
                <w:sz w:val="24"/>
                <w:szCs w:val="24"/>
              </w:rPr>
              <w:t>postredagavimas</w:t>
            </w:r>
            <w:proofErr w:type="spellEnd"/>
          </w:p>
          <w:p w14:paraId="0423E16A" w14:textId="7F6A2F81" w:rsidR="00EF07FD" w:rsidRPr="00EF07FD" w:rsidRDefault="00EF07FD" w:rsidP="00EF07FD">
            <w:pPr>
              <w:jc w:val="both"/>
              <w:rPr>
                <w:rFonts w:ascii="Times New Roman" w:eastAsia="Calibri" w:hAnsi="Times New Roman" w:cs="Times New Roman"/>
              </w:rPr>
            </w:pPr>
            <w:r w:rsidRPr="00EF07FD">
              <w:rPr>
                <w:rFonts w:ascii="Times New Roman" w:eastAsia="Calibri" w:hAnsi="Times New Roman" w:cs="Times New Roman"/>
              </w:rPr>
              <w:t>Per pandemiją ženkliai išaugus internetinių išteklių naudojimui švietimo reikmėms, „</w:t>
            </w:r>
            <w:proofErr w:type="spellStart"/>
            <w:r w:rsidRPr="00EF07FD">
              <w:rPr>
                <w:rFonts w:ascii="Times New Roman" w:eastAsia="Calibri" w:hAnsi="Times New Roman" w:cs="Times New Roman"/>
              </w:rPr>
              <w:t>Coursera</w:t>
            </w:r>
            <w:proofErr w:type="spellEnd"/>
            <w:r w:rsidRPr="00EF07FD">
              <w:rPr>
                <w:rFonts w:ascii="Times New Roman" w:eastAsia="Calibri" w:hAnsi="Times New Roman" w:cs="Times New Roman"/>
              </w:rPr>
              <w:t>“, MAIK (masinius atvirus internetinius kursus) siūlančios įmonės, populiarumas ženkliai pakilo. Didžioji dauguma kursų sukurti anglakalbių dėstytojų. Reaguodami į netikėtai padidėjusią pasaulinę paklausą mokytis nuotoliniu būdu, vertėjai savanoriai suskubo versti kursus į įvairias kalbas, taip pat ir į lietuvių kalbą. Iškilo klausimas ar „</w:t>
            </w:r>
            <w:proofErr w:type="spellStart"/>
            <w:r w:rsidRPr="00EF07FD">
              <w:rPr>
                <w:rFonts w:ascii="Times New Roman" w:eastAsia="Calibri" w:hAnsi="Times New Roman" w:cs="Times New Roman"/>
              </w:rPr>
              <w:t>Coursera</w:t>
            </w:r>
            <w:proofErr w:type="spellEnd"/>
            <w:r w:rsidRPr="00EF07FD">
              <w:rPr>
                <w:rFonts w:ascii="Times New Roman" w:eastAsia="Calibri" w:hAnsi="Times New Roman" w:cs="Times New Roman"/>
              </w:rPr>
              <w:t>“ mokymo turinį verčianti „</w:t>
            </w:r>
            <w:proofErr w:type="spellStart"/>
            <w:r w:rsidRPr="00EF07FD">
              <w:rPr>
                <w:rFonts w:ascii="Times New Roman" w:eastAsia="Calibri" w:hAnsi="Times New Roman" w:cs="Times New Roman"/>
              </w:rPr>
              <w:t>Smartling</w:t>
            </w:r>
            <w:proofErr w:type="spellEnd"/>
            <w:r w:rsidRPr="00EF07FD">
              <w:rPr>
                <w:rFonts w:ascii="Times New Roman" w:eastAsia="Calibri" w:hAnsi="Times New Roman" w:cs="Times New Roman"/>
              </w:rPr>
              <w:t>“ sistema gali būti naudinga ir ar ja apdorotų tekstų kokybė yra aukšta? Ieškant atsakymo, atliktas tyrimas kaip profesionaliems ir neprofesionaliems vertėjams sekėsi versti  „</w:t>
            </w:r>
            <w:proofErr w:type="spellStart"/>
            <w:r w:rsidRPr="00EF07FD">
              <w:rPr>
                <w:rFonts w:ascii="Times New Roman" w:eastAsia="Calibri" w:hAnsi="Times New Roman" w:cs="Times New Roman"/>
              </w:rPr>
              <w:t>Coursera</w:t>
            </w:r>
            <w:proofErr w:type="spellEnd"/>
            <w:r w:rsidRPr="00EF07FD">
              <w:rPr>
                <w:rFonts w:ascii="Times New Roman" w:eastAsia="Calibri" w:hAnsi="Times New Roman" w:cs="Times New Roman"/>
              </w:rPr>
              <w:t>“ kursų vaizdo įrašą, o jų darbo eiga registruota „</w:t>
            </w:r>
            <w:proofErr w:type="spellStart"/>
            <w:r w:rsidRPr="00EF07FD">
              <w:rPr>
                <w:rFonts w:ascii="Times New Roman" w:eastAsia="Calibri" w:hAnsi="Times New Roman" w:cs="Times New Roman"/>
              </w:rPr>
              <w:t>Translog</w:t>
            </w:r>
            <w:proofErr w:type="spellEnd"/>
            <w:r w:rsidRPr="00EF07FD">
              <w:rPr>
                <w:rFonts w:ascii="Times New Roman" w:eastAsia="Calibri" w:hAnsi="Times New Roman" w:cs="Times New Roman"/>
              </w:rPr>
              <w:t xml:space="preserve">-II“ vertimo eigos sekimo įrankiu. Gauti duomenis atskleidė kokias MV klaidas taisė dalyviai. Po </w:t>
            </w:r>
            <w:proofErr w:type="spellStart"/>
            <w:r w:rsidRPr="00EF07FD">
              <w:rPr>
                <w:rFonts w:ascii="Times New Roman" w:eastAsia="Calibri" w:hAnsi="Times New Roman" w:cs="Times New Roman"/>
              </w:rPr>
              <w:t>postredagavimo</w:t>
            </w:r>
            <w:proofErr w:type="spellEnd"/>
            <w:r w:rsidRPr="00EF07FD">
              <w:rPr>
                <w:rFonts w:ascii="Times New Roman" w:eastAsia="Calibri" w:hAnsi="Times New Roman" w:cs="Times New Roman"/>
              </w:rPr>
              <w:t xml:space="preserve"> proceso dalyvių atsakymai į klausimyną atskleidė „</w:t>
            </w:r>
            <w:proofErr w:type="spellStart"/>
            <w:r w:rsidRPr="00EF07FD">
              <w:rPr>
                <w:rFonts w:ascii="Times New Roman" w:eastAsia="Calibri" w:hAnsi="Times New Roman" w:cs="Times New Roman"/>
              </w:rPr>
              <w:t>Smartling</w:t>
            </w:r>
            <w:proofErr w:type="spellEnd"/>
            <w:r w:rsidRPr="00EF07FD">
              <w:rPr>
                <w:rFonts w:ascii="Times New Roman" w:eastAsia="Calibri" w:hAnsi="Times New Roman" w:cs="Times New Roman"/>
              </w:rPr>
              <w:t>“ sistemos trūkumus ir privalumus. Remiantis „</w:t>
            </w:r>
            <w:proofErr w:type="spellStart"/>
            <w:r w:rsidRPr="00EF07FD">
              <w:rPr>
                <w:rFonts w:ascii="Times New Roman" w:eastAsia="Calibri" w:hAnsi="Times New Roman" w:cs="Times New Roman"/>
              </w:rPr>
              <w:t>Smartling</w:t>
            </w:r>
            <w:proofErr w:type="spellEnd"/>
            <w:r w:rsidRPr="00EF07FD">
              <w:rPr>
                <w:rFonts w:ascii="Times New Roman" w:eastAsia="Calibri" w:hAnsi="Times New Roman" w:cs="Times New Roman"/>
              </w:rPr>
              <w:t xml:space="preserve">“ sistemos mašininio vertimo klaidų klasifikacija, apibendrintos esminės ir dažniausiai pasitaikančios mašininio vertimo klaidos. Vertėjas, atkreipęs į jas dėmesį, gali atlikti </w:t>
            </w:r>
            <w:proofErr w:type="spellStart"/>
            <w:r w:rsidRPr="00EF07FD">
              <w:rPr>
                <w:rFonts w:ascii="Times New Roman" w:eastAsia="Calibri" w:hAnsi="Times New Roman" w:cs="Times New Roman"/>
              </w:rPr>
              <w:t>postredagavimą</w:t>
            </w:r>
            <w:proofErr w:type="spellEnd"/>
            <w:r w:rsidRPr="00EF07FD">
              <w:rPr>
                <w:rFonts w:ascii="Times New Roman" w:eastAsia="Calibri" w:hAnsi="Times New Roman" w:cs="Times New Roman"/>
              </w:rPr>
              <w:t xml:space="preserve"> greičiau ir efektyviau. Viliamasi, kad vertėjai savanoriai teigiamai žiūrės į mašininio vertimo sistemą ir naudosis jos teikiamais privalumais versdami mokymo turinį į lietuvių kalbą norintiems mokytis „</w:t>
            </w:r>
            <w:proofErr w:type="spellStart"/>
            <w:r w:rsidRPr="00EF07FD">
              <w:rPr>
                <w:rFonts w:ascii="Times New Roman" w:eastAsia="Calibri" w:hAnsi="Times New Roman" w:cs="Times New Roman"/>
              </w:rPr>
              <w:t>Coursera</w:t>
            </w:r>
            <w:proofErr w:type="spellEnd"/>
            <w:r w:rsidRPr="00EF07FD">
              <w:rPr>
                <w:rFonts w:ascii="Times New Roman" w:eastAsia="Calibri" w:hAnsi="Times New Roman" w:cs="Times New Roman"/>
              </w:rPr>
              <w:t>“ platformoje.</w:t>
            </w:r>
          </w:p>
        </w:tc>
      </w:tr>
      <w:tr w:rsidR="00786532" w:rsidRPr="002B1880" w14:paraId="5C0B594F" w14:textId="77777777" w:rsidTr="006A7CB9">
        <w:tc>
          <w:tcPr>
            <w:tcW w:w="880" w:type="dxa"/>
            <w:vAlign w:val="center"/>
          </w:tcPr>
          <w:p w14:paraId="66125C3E" w14:textId="51BCE499" w:rsidR="00786532" w:rsidRPr="00E66AB8" w:rsidRDefault="00786532" w:rsidP="00786532">
            <w:pPr>
              <w:spacing w:after="120"/>
              <w:jc w:val="both"/>
              <w:rPr>
                <w:rFonts w:ascii="Times New Roman" w:hAnsi="Times New Roman" w:cs="Times New Roman"/>
                <w:b/>
                <w:bCs/>
                <w:sz w:val="24"/>
                <w:szCs w:val="24"/>
              </w:rPr>
            </w:pPr>
            <w:r w:rsidRPr="00E66AB8">
              <w:rPr>
                <w:rFonts w:ascii="Times New Roman" w:hAnsi="Times New Roman" w:cs="Times New Roman"/>
                <w:b/>
                <w:bCs/>
                <w:sz w:val="24"/>
                <w:szCs w:val="24"/>
              </w:rPr>
              <w:t>11.15</w:t>
            </w:r>
          </w:p>
        </w:tc>
        <w:tc>
          <w:tcPr>
            <w:tcW w:w="9327" w:type="dxa"/>
          </w:tcPr>
          <w:p w14:paraId="2927C84A" w14:textId="77777777" w:rsidR="000B1F2A" w:rsidRDefault="000B1F2A" w:rsidP="002916B8">
            <w:pPr>
              <w:spacing w:line="360" w:lineRule="auto"/>
              <w:jc w:val="both"/>
              <w:rPr>
                <w:rFonts w:ascii="Times New Roman" w:eastAsia="Calibri" w:hAnsi="Times New Roman" w:cs="Times New Roman"/>
                <w:b/>
                <w:bCs/>
                <w:i/>
                <w:iCs/>
                <w:sz w:val="24"/>
                <w:szCs w:val="24"/>
              </w:rPr>
            </w:pPr>
          </w:p>
          <w:p w14:paraId="66E6084F" w14:textId="77777777" w:rsidR="00321955" w:rsidRDefault="00E66AB8" w:rsidP="002916B8">
            <w:pPr>
              <w:spacing w:line="360" w:lineRule="auto"/>
              <w:jc w:val="both"/>
              <w:rPr>
                <w:rFonts w:ascii="Times New Roman" w:eastAsia="Calibri" w:hAnsi="Times New Roman" w:cs="Times New Roman"/>
                <w:b/>
                <w:bCs/>
                <w:i/>
                <w:iCs/>
                <w:sz w:val="24"/>
                <w:szCs w:val="24"/>
              </w:rPr>
            </w:pPr>
            <w:r w:rsidRPr="00E66AB8">
              <w:rPr>
                <w:rFonts w:ascii="Times New Roman" w:eastAsia="Calibri" w:hAnsi="Times New Roman" w:cs="Times New Roman"/>
                <w:b/>
                <w:bCs/>
                <w:i/>
                <w:iCs/>
                <w:sz w:val="24"/>
                <w:szCs w:val="24"/>
              </w:rPr>
              <w:t>Pertrauka</w:t>
            </w:r>
          </w:p>
          <w:p w14:paraId="1474B333" w14:textId="763B9592" w:rsidR="000B1F2A" w:rsidRPr="00E66AB8" w:rsidRDefault="000B1F2A" w:rsidP="002916B8">
            <w:pPr>
              <w:spacing w:line="360" w:lineRule="auto"/>
              <w:jc w:val="both"/>
              <w:rPr>
                <w:rFonts w:ascii="Times New Roman" w:eastAsia="Calibri" w:hAnsi="Times New Roman" w:cs="Times New Roman"/>
                <w:b/>
                <w:bCs/>
                <w:i/>
                <w:iCs/>
                <w:sz w:val="24"/>
                <w:szCs w:val="24"/>
              </w:rPr>
            </w:pPr>
          </w:p>
        </w:tc>
      </w:tr>
      <w:tr w:rsidR="001008DB" w:rsidRPr="002B1880" w14:paraId="4D9C2271" w14:textId="77777777" w:rsidTr="006A7CB9">
        <w:tc>
          <w:tcPr>
            <w:tcW w:w="880" w:type="dxa"/>
            <w:vAlign w:val="center"/>
          </w:tcPr>
          <w:p w14:paraId="037C139C" w14:textId="6964494E" w:rsidR="001008DB" w:rsidRPr="002B1880" w:rsidRDefault="001008DB" w:rsidP="001008DB">
            <w:pPr>
              <w:spacing w:after="120"/>
              <w:jc w:val="both"/>
              <w:rPr>
                <w:rFonts w:ascii="Times New Roman" w:hAnsi="Times New Roman" w:cs="Times New Roman"/>
                <w:sz w:val="24"/>
                <w:szCs w:val="24"/>
              </w:rPr>
            </w:pPr>
            <w:r w:rsidRPr="002B1880">
              <w:rPr>
                <w:rFonts w:ascii="Times New Roman" w:hAnsi="Times New Roman" w:cs="Times New Roman"/>
                <w:sz w:val="24"/>
                <w:szCs w:val="24"/>
              </w:rPr>
              <w:t>1</w:t>
            </w:r>
            <w:r w:rsidR="00DC0784">
              <w:rPr>
                <w:rFonts w:ascii="Times New Roman" w:hAnsi="Times New Roman" w:cs="Times New Roman"/>
                <w:sz w:val="24"/>
                <w:szCs w:val="24"/>
              </w:rPr>
              <w:t>1</w:t>
            </w:r>
            <w:r w:rsidRPr="002B1880">
              <w:rPr>
                <w:rFonts w:ascii="Times New Roman" w:hAnsi="Times New Roman" w:cs="Times New Roman"/>
                <w:sz w:val="24"/>
                <w:szCs w:val="24"/>
              </w:rPr>
              <w:t>.</w:t>
            </w:r>
            <w:r w:rsidR="003A602C">
              <w:rPr>
                <w:rFonts w:ascii="Times New Roman" w:hAnsi="Times New Roman" w:cs="Times New Roman"/>
                <w:sz w:val="24"/>
                <w:szCs w:val="24"/>
              </w:rPr>
              <w:t>35</w:t>
            </w:r>
          </w:p>
        </w:tc>
        <w:tc>
          <w:tcPr>
            <w:tcW w:w="9327" w:type="dxa"/>
          </w:tcPr>
          <w:p w14:paraId="0D7EA696" w14:textId="77777777" w:rsidR="0055170A" w:rsidRPr="00224820" w:rsidRDefault="0055170A" w:rsidP="001008DB">
            <w:pPr>
              <w:spacing w:line="360" w:lineRule="auto"/>
              <w:jc w:val="both"/>
              <w:rPr>
                <w:rFonts w:ascii="Times New Roman" w:eastAsia="Calibri" w:hAnsi="Times New Roman" w:cs="Times New Roman"/>
                <w:b/>
                <w:bCs/>
                <w:sz w:val="24"/>
                <w:szCs w:val="24"/>
              </w:rPr>
            </w:pPr>
            <w:r w:rsidRPr="00224820">
              <w:rPr>
                <w:rFonts w:ascii="Times New Roman" w:eastAsia="Calibri" w:hAnsi="Times New Roman" w:cs="Times New Roman"/>
                <w:b/>
                <w:bCs/>
                <w:sz w:val="24"/>
                <w:szCs w:val="24"/>
              </w:rPr>
              <w:t>Radvilė Musteikytė (Literatūros antropologija ir kultūra MA II kursas)</w:t>
            </w:r>
          </w:p>
          <w:p w14:paraId="61DED3E1" w14:textId="77777777" w:rsidR="001008DB" w:rsidRPr="00224820" w:rsidRDefault="006B3BBA" w:rsidP="001008DB">
            <w:pPr>
              <w:spacing w:line="360" w:lineRule="auto"/>
              <w:jc w:val="both"/>
              <w:rPr>
                <w:rFonts w:ascii="Times New Roman" w:eastAsia="Calibri" w:hAnsi="Times New Roman" w:cs="Times New Roman"/>
                <w:b/>
                <w:bCs/>
                <w:i/>
                <w:iCs/>
                <w:sz w:val="24"/>
                <w:szCs w:val="24"/>
              </w:rPr>
            </w:pPr>
            <w:proofErr w:type="spellStart"/>
            <w:r w:rsidRPr="00224820">
              <w:rPr>
                <w:rFonts w:ascii="Times New Roman" w:eastAsia="Calibri" w:hAnsi="Times New Roman" w:cs="Times New Roman"/>
                <w:b/>
                <w:bCs/>
                <w:i/>
                <w:iCs/>
                <w:sz w:val="24"/>
                <w:szCs w:val="24"/>
              </w:rPr>
              <w:t>The</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speculative</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storyworld</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of</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Emmi</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Itäranta’s</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novel</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The</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Moonday</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Letters</w:t>
            </w:r>
            <w:proofErr w:type="spellEnd"/>
            <w:r w:rsidRPr="00224820">
              <w:rPr>
                <w:rFonts w:ascii="Times New Roman" w:eastAsia="Calibri" w:hAnsi="Times New Roman" w:cs="Times New Roman"/>
                <w:b/>
                <w:bCs/>
                <w:i/>
                <w:iCs/>
                <w:sz w:val="24"/>
                <w:szCs w:val="24"/>
              </w:rPr>
              <w:t xml:space="preserve">” (2020): a </w:t>
            </w:r>
            <w:proofErr w:type="spellStart"/>
            <w:r w:rsidRPr="00224820">
              <w:rPr>
                <w:rFonts w:ascii="Times New Roman" w:eastAsia="Calibri" w:hAnsi="Times New Roman" w:cs="Times New Roman"/>
                <w:b/>
                <w:bCs/>
                <w:i/>
                <w:iCs/>
                <w:sz w:val="24"/>
                <w:szCs w:val="24"/>
              </w:rPr>
              <w:t>rhetorical</w:t>
            </w:r>
            <w:proofErr w:type="spellEnd"/>
            <w:r w:rsidRPr="00224820">
              <w:rPr>
                <w:rFonts w:ascii="Times New Roman" w:eastAsia="Calibri" w:hAnsi="Times New Roman" w:cs="Times New Roman"/>
                <w:b/>
                <w:bCs/>
                <w:i/>
                <w:iCs/>
                <w:sz w:val="24"/>
                <w:szCs w:val="24"/>
              </w:rPr>
              <w:t xml:space="preserve"> </w:t>
            </w:r>
            <w:proofErr w:type="spellStart"/>
            <w:r w:rsidRPr="00224820">
              <w:rPr>
                <w:rFonts w:ascii="Times New Roman" w:eastAsia="Calibri" w:hAnsi="Times New Roman" w:cs="Times New Roman"/>
                <w:b/>
                <w:bCs/>
                <w:i/>
                <w:iCs/>
                <w:sz w:val="24"/>
                <w:szCs w:val="24"/>
              </w:rPr>
              <w:t>approach</w:t>
            </w:r>
            <w:proofErr w:type="spellEnd"/>
          </w:p>
          <w:p w14:paraId="52276D62" w14:textId="04191C41" w:rsidR="00224820" w:rsidRPr="00224820" w:rsidRDefault="00224820" w:rsidP="00224820">
            <w:pPr>
              <w:jc w:val="both"/>
              <w:rPr>
                <w:rFonts w:ascii="Times New Roman" w:hAnsi="Times New Roman" w:cs="Times New Roman"/>
              </w:rPr>
            </w:pP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Moonday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Letters</w:t>
            </w:r>
            <w:proofErr w:type="spellEnd"/>
            <w:r w:rsidRPr="00224820">
              <w:rPr>
                <w:rFonts w:ascii="Times New Roman" w:hAnsi="Times New Roman" w:cs="Times New Roman"/>
              </w:rPr>
              <w:t xml:space="preserve"> (2020), </w:t>
            </w:r>
            <w:proofErr w:type="spellStart"/>
            <w:r w:rsidRPr="00224820">
              <w:rPr>
                <w:rFonts w:ascii="Times New Roman" w:hAnsi="Times New Roman" w:cs="Times New Roman"/>
              </w:rPr>
              <w:t>an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environmentally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inflected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speculative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novel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by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Finnish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author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Emmi</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Itäranta</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presents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reader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with</w:t>
            </w:r>
            <w:proofErr w:type="spellEnd"/>
            <w:r w:rsidRPr="00224820">
              <w:rPr>
                <w:rFonts w:ascii="Times New Roman" w:hAnsi="Times New Roman" w:cs="Times New Roman"/>
              </w:rPr>
              <w:t xml:space="preserve"> a </w:t>
            </w:r>
            <w:proofErr w:type="spellStart"/>
            <w:r w:rsidRPr="00224820">
              <w:rPr>
                <w:rFonts w:ascii="Times New Roman" w:hAnsi="Times New Roman" w:cs="Times New Roman"/>
              </w:rPr>
              <w:t>future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Earth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devastated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humans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have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colonized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Solar</w:t>
            </w:r>
            <w:proofErr w:type="spellEnd"/>
            <w:r w:rsidRPr="00224820">
              <w:rPr>
                <w:rFonts w:ascii="Times New Roman" w:hAnsi="Times New Roman" w:cs="Times New Roman"/>
              </w:rPr>
              <w:t xml:space="preserve"> System. </w:t>
            </w:r>
            <w:proofErr w:type="spellStart"/>
            <w:r w:rsidRPr="00224820">
              <w:rPr>
                <w:rFonts w:ascii="Times New Roman" w:hAnsi="Times New Roman" w:cs="Times New Roman"/>
              </w:rPr>
              <w:t>This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future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experienced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through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letters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a </w:t>
            </w:r>
            <w:proofErr w:type="spellStart"/>
            <w:r w:rsidRPr="00224820">
              <w:rPr>
                <w:rFonts w:ascii="Times New Roman" w:hAnsi="Times New Roman" w:cs="Times New Roman"/>
              </w:rPr>
              <w:t>travelling</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character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promising</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you</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will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see</w:t>
            </w:r>
            <w:proofErr w:type="spellEnd"/>
            <w:r w:rsidRPr="00224820">
              <w:rPr>
                <w:rFonts w:ascii="Times New Roman" w:hAnsi="Times New Roman" w:cs="Times New Roman"/>
              </w:rPr>
              <w:t xml:space="preserve"> it </w:t>
            </w:r>
            <w:proofErr w:type="spellStart"/>
            <w:r w:rsidRPr="00224820">
              <w:rPr>
                <w:rFonts w:ascii="Times New Roman" w:hAnsi="Times New Roman" w:cs="Times New Roman"/>
              </w:rPr>
              <w:t>as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you</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were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with</w:t>
            </w:r>
            <w:proofErr w:type="spellEnd"/>
            <w:r w:rsidRPr="00224820">
              <w:rPr>
                <w:rFonts w:ascii="Times New Roman" w:hAnsi="Times New Roman" w:cs="Times New Roman"/>
              </w:rPr>
              <w:t xml:space="preserve"> me.” </w:t>
            </w:r>
            <w:proofErr w:type="spellStart"/>
            <w:r w:rsidRPr="00224820">
              <w:rPr>
                <w:rFonts w:ascii="Times New Roman" w:hAnsi="Times New Roman" w:cs="Times New Roman"/>
              </w:rPr>
              <w:t>Drawing</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together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rhetorical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approach</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literature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central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idea</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that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narratives</w:t>
            </w:r>
            <w:proofErr w:type="spellEnd"/>
            <w:r w:rsidRPr="00224820">
              <w:rPr>
                <w:rFonts w:ascii="Times New Roman" w:hAnsi="Times New Roman" w:cs="Times New Roman"/>
              </w:rPr>
              <w:t xml:space="preserve"> are </w:t>
            </w:r>
            <w:proofErr w:type="spellStart"/>
            <w:r w:rsidRPr="00224820">
              <w:rPr>
                <w:rFonts w:ascii="Times New Roman" w:hAnsi="Times New Roman" w:cs="Times New Roman"/>
              </w:rPr>
              <w:t>purposive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acts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by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authors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communicate</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their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readers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econarratology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maintains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that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literary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representations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environments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can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affect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readers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outlook</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world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study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seeks</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explore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ways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author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conveys</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her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reader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values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ideas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questions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related</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climate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change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Epistolary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form</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autodiegetic</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narrator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self-reflexive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present-tense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narration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lyrical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descriptions</w:t>
            </w:r>
            <w:proofErr w:type="spellEnd"/>
            <w:r w:rsidRPr="00224820">
              <w:rPr>
                <w:rFonts w:ascii="Times New Roman" w:hAnsi="Times New Roman" w:cs="Times New Roman"/>
              </w:rPr>
              <w:t xml:space="preserve"> are </w:t>
            </w:r>
            <w:proofErr w:type="spellStart"/>
            <w:r w:rsidRPr="00224820">
              <w:rPr>
                <w:rFonts w:ascii="Times New Roman" w:hAnsi="Times New Roman" w:cs="Times New Roman"/>
              </w:rPr>
              <w:t>analyzed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means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Itäranta</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employs</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construct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speculative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storyworld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her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novel</w:t>
            </w:r>
            <w:proofErr w:type="spellEnd"/>
            <w:r w:rsidRPr="00224820">
              <w:rPr>
                <w:rFonts w:ascii="Times New Roman" w:hAnsi="Times New Roman" w:cs="Times New Roman"/>
              </w:rPr>
              <w:t xml:space="preserve"> –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world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shaped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projected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by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its</w:t>
            </w:r>
            <w:proofErr w:type="spellEnd"/>
            <w:r w:rsidRPr="00224820">
              <w:rPr>
                <w:rFonts w:ascii="Times New Roman" w:hAnsi="Times New Roman" w:cs="Times New Roman"/>
              </w:rPr>
              <w:t xml:space="preserve"> story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a </w:t>
            </w:r>
            <w:proofErr w:type="spellStart"/>
            <w:r w:rsidRPr="00224820">
              <w:rPr>
                <w:rFonts w:ascii="Times New Roman" w:hAnsi="Times New Roman" w:cs="Times New Roman"/>
              </w:rPr>
              <w:t>part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author’s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communicative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design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Accounting</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for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how</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information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about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storyworld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conveyed</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reader</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establishment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speculative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elements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well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ethical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dimension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narrative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this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study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argues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that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rhetorical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potential</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of</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Moonday</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Letters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consists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constructing</w:t>
            </w:r>
            <w:proofErr w:type="spellEnd"/>
            <w:r w:rsidRPr="00224820">
              <w:rPr>
                <w:rFonts w:ascii="Times New Roman" w:hAnsi="Times New Roman" w:cs="Times New Roman"/>
              </w:rPr>
              <w:t xml:space="preserve"> a </w:t>
            </w:r>
            <w:proofErr w:type="spellStart"/>
            <w:r w:rsidRPr="00224820">
              <w:rPr>
                <w:rFonts w:ascii="Times New Roman" w:hAnsi="Times New Roman" w:cs="Times New Roman"/>
              </w:rPr>
              <w:t>coherent</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and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immersive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speculative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storyworld</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which</w:t>
            </w:r>
            <w:proofErr w:type="spellEnd"/>
            <w:r w:rsidRPr="00224820">
              <w:rPr>
                <w:rFonts w:ascii="Times New Roman" w:hAnsi="Times New Roman" w:cs="Times New Roman"/>
              </w:rPr>
              <w:t xml:space="preserve"> at </w:t>
            </w:r>
            <w:proofErr w:type="spellStart"/>
            <w:r w:rsidRPr="00224820">
              <w:rPr>
                <w:rFonts w:ascii="Times New Roman" w:hAnsi="Times New Roman" w:cs="Times New Roman"/>
              </w:rPr>
              <w:t>the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same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time</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points</w:t>
            </w:r>
            <w:proofErr w:type="spellEnd"/>
            <w:r w:rsidRPr="00224820">
              <w:rPr>
                <w:rFonts w:ascii="Times New Roman" w:hAnsi="Times New Roman" w:cs="Times New Roman"/>
              </w:rPr>
              <w:t xml:space="preserve"> to </w:t>
            </w:r>
            <w:proofErr w:type="spellStart"/>
            <w:r w:rsidRPr="00224820">
              <w:rPr>
                <w:rFonts w:ascii="Times New Roman" w:hAnsi="Times New Roman" w:cs="Times New Roman"/>
              </w:rPr>
              <w:t>its</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own</w:t>
            </w:r>
            <w:proofErr w:type="spellEnd"/>
            <w:r w:rsidRPr="00224820">
              <w:rPr>
                <w:rFonts w:ascii="Times New Roman" w:hAnsi="Times New Roman" w:cs="Times New Roman"/>
              </w:rPr>
              <w:t xml:space="preserve"> </w:t>
            </w:r>
            <w:proofErr w:type="spellStart"/>
            <w:r w:rsidRPr="00224820">
              <w:rPr>
                <w:rFonts w:ascii="Times New Roman" w:hAnsi="Times New Roman" w:cs="Times New Roman"/>
              </w:rPr>
              <w:t>artificiality</w:t>
            </w:r>
            <w:proofErr w:type="spellEnd"/>
            <w:r w:rsidRPr="00224820">
              <w:rPr>
                <w:rFonts w:ascii="Times New Roman" w:hAnsi="Times New Roman" w:cs="Times New Roman"/>
              </w:rPr>
              <w:t>.</w:t>
            </w:r>
          </w:p>
        </w:tc>
      </w:tr>
      <w:tr w:rsidR="001008DB" w:rsidRPr="002B1880" w14:paraId="76ED95F4" w14:textId="77777777" w:rsidTr="006A7CB9">
        <w:tc>
          <w:tcPr>
            <w:tcW w:w="880" w:type="dxa"/>
            <w:vAlign w:val="center"/>
          </w:tcPr>
          <w:p w14:paraId="4327EF31" w14:textId="593B7616" w:rsidR="001008DB" w:rsidRPr="002B1880" w:rsidRDefault="001008DB" w:rsidP="001008DB">
            <w:pPr>
              <w:spacing w:after="120"/>
              <w:jc w:val="both"/>
              <w:rPr>
                <w:rFonts w:ascii="Times New Roman" w:hAnsi="Times New Roman" w:cs="Times New Roman"/>
                <w:sz w:val="24"/>
                <w:szCs w:val="24"/>
              </w:rPr>
            </w:pPr>
            <w:r w:rsidRPr="002B1880">
              <w:rPr>
                <w:rFonts w:ascii="Times New Roman" w:hAnsi="Times New Roman" w:cs="Times New Roman"/>
                <w:sz w:val="24"/>
                <w:szCs w:val="24"/>
              </w:rPr>
              <w:lastRenderedPageBreak/>
              <w:t>1</w:t>
            </w:r>
            <w:r>
              <w:rPr>
                <w:rFonts w:ascii="Times New Roman" w:hAnsi="Times New Roman" w:cs="Times New Roman"/>
                <w:sz w:val="24"/>
                <w:szCs w:val="24"/>
              </w:rPr>
              <w:t>2</w:t>
            </w:r>
            <w:r w:rsidRPr="002B1880">
              <w:rPr>
                <w:rFonts w:ascii="Times New Roman" w:hAnsi="Times New Roman" w:cs="Times New Roman"/>
                <w:sz w:val="24"/>
                <w:szCs w:val="24"/>
              </w:rPr>
              <w:t>.</w:t>
            </w:r>
            <w:r w:rsidR="00DC0784">
              <w:rPr>
                <w:rFonts w:ascii="Times New Roman" w:hAnsi="Times New Roman" w:cs="Times New Roman"/>
                <w:sz w:val="24"/>
                <w:szCs w:val="24"/>
              </w:rPr>
              <w:t>0</w:t>
            </w:r>
            <w:r w:rsidR="003A602C">
              <w:rPr>
                <w:rFonts w:ascii="Times New Roman" w:hAnsi="Times New Roman" w:cs="Times New Roman"/>
                <w:sz w:val="24"/>
                <w:szCs w:val="24"/>
              </w:rPr>
              <w:t>0</w:t>
            </w:r>
          </w:p>
        </w:tc>
        <w:tc>
          <w:tcPr>
            <w:tcW w:w="9327" w:type="dxa"/>
          </w:tcPr>
          <w:p w14:paraId="3FBEC795" w14:textId="6053FD6F" w:rsidR="008400FB" w:rsidRPr="00B04A59" w:rsidRDefault="008400FB" w:rsidP="008400FB">
            <w:pPr>
              <w:spacing w:line="360" w:lineRule="auto"/>
              <w:jc w:val="both"/>
              <w:rPr>
                <w:rFonts w:ascii="Times New Roman" w:eastAsia="Calibri" w:hAnsi="Times New Roman" w:cs="Times New Roman"/>
                <w:b/>
                <w:bCs/>
                <w:sz w:val="24"/>
                <w:szCs w:val="24"/>
              </w:rPr>
            </w:pPr>
            <w:r w:rsidRPr="00B04A59">
              <w:rPr>
                <w:rFonts w:ascii="Times New Roman" w:eastAsia="Calibri" w:hAnsi="Times New Roman" w:cs="Times New Roman"/>
                <w:b/>
                <w:bCs/>
                <w:sz w:val="24"/>
                <w:szCs w:val="24"/>
              </w:rPr>
              <w:t xml:space="preserve">Eglė </w:t>
            </w:r>
            <w:proofErr w:type="spellStart"/>
            <w:r w:rsidRPr="00B04A59">
              <w:rPr>
                <w:rFonts w:ascii="Times New Roman" w:eastAsia="Calibri" w:hAnsi="Times New Roman" w:cs="Times New Roman"/>
                <w:b/>
                <w:bCs/>
                <w:sz w:val="24"/>
                <w:szCs w:val="24"/>
              </w:rPr>
              <w:t>Viskantaitė</w:t>
            </w:r>
            <w:proofErr w:type="spellEnd"/>
            <w:r w:rsidRPr="00B04A59">
              <w:rPr>
                <w:rFonts w:ascii="Times New Roman" w:eastAsia="Calibri" w:hAnsi="Times New Roman" w:cs="Times New Roman"/>
                <w:b/>
                <w:bCs/>
                <w:sz w:val="24"/>
                <w:szCs w:val="24"/>
              </w:rPr>
              <w:t xml:space="preserve"> (Literatūros antropologija ir kultūra MA II kursas)</w:t>
            </w:r>
          </w:p>
          <w:p w14:paraId="3C8A0418" w14:textId="77777777" w:rsidR="001008DB" w:rsidRPr="00B04A59" w:rsidRDefault="00227AC0" w:rsidP="008400FB">
            <w:pPr>
              <w:spacing w:line="360" w:lineRule="auto"/>
              <w:jc w:val="both"/>
              <w:rPr>
                <w:rFonts w:ascii="Times New Roman" w:eastAsia="Calibri" w:hAnsi="Times New Roman" w:cs="Times New Roman"/>
                <w:b/>
                <w:bCs/>
                <w:i/>
                <w:sz w:val="24"/>
                <w:szCs w:val="24"/>
              </w:rPr>
            </w:pPr>
            <w:r w:rsidRPr="00B04A59">
              <w:rPr>
                <w:rFonts w:ascii="Times New Roman" w:eastAsia="Calibri" w:hAnsi="Times New Roman" w:cs="Times New Roman"/>
                <w:b/>
                <w:bCs/>
                <w:i/>
                <w:sz w:val="24"/>
                <w:szCs w:val="24"/>
              </w:rPr>
              <w:t>Lyties ir negalios sąveika Gabrielės Petkevičaitės-Bitės apsakyme „Vilkienė“</w:t>
            </w:r>
          </w:p>
          <w:p w14:paraId="5E2E884A" w14:textId="77777777" w:rsidR="00F172E2" w:rsidRPr="00F172E2" w:rsidRDefault="00F172E2" w:rsidP="00A926F0">
            <w:pPr>
              <w:jc w:val="both"/>
              <w:rPr>
                <w:rFonts w:ascii="Times New Roman" w:eastAsia="Calibri" w:hAnsi="Times New Roman" w:cs="Times New Roman"/>
              </w:rPr>
            </w:pPr>
            <w:r w:rsidRPr="00F172E2">
              <w:rPr>
                <w:rFonts w:ascii="Times New Roman" w:eastAsia="Calibri" w:hAnsi="Times New Roman" w:cs="Times New Roman"/>
              </w:rPr>
              <w:t xml:space="preserve">Lytis ir silpna sveikata – svarbios Gabrielės Petkevičaitės-Bitės tapatybės, gyvenimo ir kūrybos paradigmos. Į lyties ir negalios kategorijų svarbą Bitės gyvenime ir kūryboje dėmesį atkreipė Ramunė </w:t>
            </w:r>
            <w:proofErr w:type="spellStart"/>
            <w:r w:rsidRPr="00F172E2">
              <w:rPr>
                <w:rFonts w:ascii="Times New Roman" w:eastAsia="Calibri" w:hAnsi="Times New Roman" w:cs="Times New Roman"/>
              </w:rPr>
              <w:t>Bleizgienė</w:t>
            </w:r>
            <w:proofErr w:type="spellEnd"/>
            <w:r w:rsidRPr="00F172E2">
              <w:rPr>
                <w:rFonts w:ascii="Times New Roman" w:eastAsia="Calibri" w:hAnsi="Times New Roman" w:cs="Times New Roman"/>
              </w:rPr>
              <w:t xml:space="preserve"> ir Aistė </w:t>
            </w:r>
            <w:proofErr w:type="spellStart"/>
            <w:r w:rsidRPr="00F172E2">
              <w:rPr>
                <w:rFonts w:ascii="Times New Roman" w:eastAsia="Calibri" w:hAnsi="Times New Roman" w:cs="Times New Roman"/>
              </w:rPr>
              <w:t>Birgerytė</w:t>
            </w:r>
            <w:proofErr w:type="spellEnd"/>
            <w:r w:rsidRPr="00F172E2">
              <w:rPr>
                <w:rFonts w:ascii="Times New Roman" w:eastAsia="Calibri" w:hAnsi="Times New Roman" w:cs="Times New Roman"/>
              </w:rPr>
              <w:t>, tačiau tyrė šias kategorijas atskirai, šiame pranešime analizuojama kaip lyties ir negalios kategorijos veikia kaip viena sąveika ir formuoja moters tapatybę Bitės apsakyme “Vilkienė” (1894).</w:t>
            </w:r>
          </w:p>
          <w:p w14:paraId="3A2F7738" w14:textId="77777777" w:rsidR="00F172E2" w:rsidRPr="00F172E2" w:rsidRDefault="00F172E2" w:rsidP="00A926F0">
            <w:pPr>
              <w:jc w:val="both"/>
              <w:rPr>
                <w:rFonts w:ascii="Times New Roman" w:eastAsia="Calibri" w:hAnsi="Times New Roman" w:cs="Times New Roman"/>
              </w:rPr>
            </w:pPr>
            <w:r w:rsidRPr="00F172E2">
              <w:rPr>
                <w:rFonts w:ascii="Times New Roman" w:eastAsia="Calibri" w:hAnsi="Times New Roman" w:cs="Times New Roman"/>
              </w:rPr>
              <w:t>Sąveikos teorija (</w:t>
            </w:r>
            <w:proofErr w:type="spellStart"/>
            <w:r w:rsidRPr="00F172E2">
              <w:rPr>
                <w:rFonts w:ascii="Times New Roman" w:eastAsia="Calibri" w:hAnsi="Times New Roman" w:cs="Times New Roman"/>
              </w:rPr>
              <w:t>Crenshaw</w:t>
            </w:r>
            <w:proofErr w:type="spellEnd"/>
            <w:r w:rsidRPr="00F172E2">
              <w:rPr>
                <w:rFonts w:ascii="Times New Roman" w:eastAsia="Calibri" w:hAnsi="Times New Roman" w:cs="Times New Roman"/>
              </w:rPr>
              <w:t>, 1991) yra viena svarbiausių feministinių prieigų tiriant binarinę priespaudos struktūrą socialiniuose moksluose, tačiau ji vis plačiau taikoma ir literatūros lauke (</w:t>
            </w:r>
            <w:proofErr w:type="spellStart"/>
            <w:r w:rsidRPr="00F172E2">
              <w:rPr>
                <w:rFonts w:ascii="Times New Roman" w:eastAsia="Calibri" w:hAnsi="Times New Roman" w:cs="Times New Roman"/>
              </w:rPr>
              <w:t>Smith</w:t>
            </w:r>
            <w:proofErr w:type="spellEnd"/>
            <w:r w:rsidRPr="00F172E2">
              <w:rPr>
                <w:rFonts w:ascii="Times New Roman" w:eastAsia="Calibri" w:hAnsi="Times New Roman" w:cs="Times New Roman"/>
              </w:rPr>
              <w:t xml:space="preserve"> 1994, </w:t>
            </w:r>
            <w:proofErr w:type="spellStart"/>
            <w:r w:rsidRPr="00F172E2">
              <w:rPr>
                <w:rFonts w:ascii="Times New Roman" w:eastAsia="Calibri" w:hAnsi="Times New Roman" w:cs="Times New Roman"/>
              </w:rPr>
              <w:t>Erevelies</w:t>
            </w:r>
            <w:proofErr w:type="spellEnd"/>
            <w:r w:rsidRPr="00F172E2">
              <w:rPr>
                <w:rFonts w:ascii="Times New Roman" w:eastAsia="Calibri" w:hAnsi="Times New Roman" w:cs="Times New Roman"/>
              </w:rPr>
              <w:t xml:space="preserve">, </w:t>
            </w:r>
            <w:proofErr w:type="spellStart"/>
            <w:r w:rsidRPr="00F172E2">
              <w:rPr>
                <w:rFonts w:ascii="Times New Roman" w:eastAsia="Calibri" w:hAnsi="Times New Roman" w:cs="Times New Roman"/>
              </w:rPr>
              <w:t>Minear</w:t>
            </w:r>
            <w:proofErr w:type="spellEnd"/>
            <w:r w:rsidRPr="00F172E2">
              <w:rPr>
                <w:rFonts w:ascii="Times New Roman" w:eastAsia="Calibri" w:hAnsi="Times New Roman" w:cs="Times New Roman"/>
              </w:rPr>
              <w:t xml:space="preserve">, </w:t>
            </w:r>
            <w:r w:rsidRPr="00F172E2">
              <w:rPr>
                <w:rFonts w:ascii="Times New Roman" w:eastAsia="Calibri" w:hAnsi="Times New Roman" w:cs="Times New Roman"/>
                <w:i/>
                <w:iCs/>
              </w:rPr>
              <w:t>2</w:t>
            </w:r>
            <w:r w:rsidRPr="00F172E2">
              <w:rPr>
                <w:rFonts w:ascii="Times New Roman" w:eastAsia="Calibri" w:hAnsi="Times New Roman" w:cs="Times New Roman"/>
              </w:rPr>
              <w:t xml:space="preserve">010). Sąveikos teorija naudinga tuo, kad teorizuoja moterų priespaudą kaip daugiasluoksnę ir kompleksinę, formuojančią tapatybę, susikirtus keliems priespaudos laukams. </w:t>
            </w:r>
          </w:p>
          <w:p w14:paraId="79CADF83" w14:textId="49FD6E3E" w:rsidR="00F172E2" w:rsidRPr="00B02364" w:rsidRDefault="00F172E2" w:rsidP="00F172E2">
            <w:pPr>
              <w:jc w:val="both"/>
              <w:rPr>
                <w:rFonts w:ascii="Times New Roman" w:eastAsia="Calibri" w:hAnsi="Times New Roman" w:cs="Times New Roman"/>
                <w:i/>
                <w:iCs/>
                <w:sz w:val="24"/>
                <w:szCs w:val="24"/>
              </w:rPr>
            </w:pPr>
            <w:r w:rsidRPr="00F172E2">
              <w:rPr>
                <w:rFonts w:ascii="Times New Roman" w:eastAsia="Calibri" w:hAnsi="Times New Roman" w:cs="Times New Roman"/>
              </w:rPr>
              <w:t>Bitės apsakyme „Vilkienė“ socialinė dinamika konstruojama per pagrindinės veikėjos tapatybės kaitą</w:t>
            </w:r>
            <w:bookmarkStart w:id="0" w:name="_Hlk82669036"/>
            <w:r w:rsidRPr="00F172E2">
              <w:rPr>
                <w:rFonts w:ascii="Times New Roman" w:eastAsia="Calibri" w:hAnsi="Times New Roman" w:cs="Times New Roman"/>
              </w:rPr>
              <w:t xml:space="preserve"> – </w:t>
            </w:r>
            <w:bookmarkEnd w:id="0"/>
            <w:r w:rsidRPr="00F172E2">
              <w:rPr>
                <w:rFonts w:ascii="Times New Roman" w:eastAsia="Calibri" w:hAnsi="Times New Roman" w:cs="Times New Roman"/>
              </w:rPr>
              <w:t>sveikos moters tapsmą neįgalia. Apsakyme Vilkienė vaizduojama kaip dėl lyties, socialinės padėties(našlės statuso), ir negalios diskriminuojama moteris, tačiau  tekste ryškus ir pasipriešinimo motyvas. Apsakyme kuriamas ne tik diskriminacinis tapatumas, bet ir įgalinimo diskursas, kuris konstruoja moters įgalinimą per pareigos jausmą, per santykį su bendruomene ir Vilkienės santykį su pavargėle, žiniuone Petronėle.</w:t>
            </w:r>
          </w:p>
        </w:tc>
      </w:tr>
      <w:tr w:rsidR="001008DB" w:rsidRPr="002B1880" w14:paraId="2DB1AC76" w14:textId="77777777" w:rsidTr="006A7CB9">
        <w:tc>
          <w:tcPr>
            <w:tcW w:w="880" w:type="dxa"/>
            <w:vAlign w:val="center"/>
          </w:tcPr>
          <w:p w14:paraId="139EAB1A" w14:textId="1F5CEE57" w:rsidR="001008DB" w:rsidRPr="002B1880" w:rsidRDefault="001008DB" w:rsidP="001008DB">
            <w:pPr>
              <w:spacing w:after="120"/>
              <w:jc w:val="both"/>
              <w:rPr>
                <w:rFonts w:ascii="Times New Roman" w:hAnsi="Times New Roman" w:cs="Times New Roman"/>
                <w:sz w:val="24"/>
                <w:szCs w:val="24"/>
              </w:rPr>
            </w:pPr>
            <w:r>
              <w:rPr>
                <w:rFonts w:ascii="Times New Roman" w:hAnsi="Times New Roman" w:cs="Times New Roman"/>
                <w:sz w:val="24"/>
                <w:szCs w:val="24"/>
              </w:rPr>
              <w:t>1</w:t>
            </w:r>
            <w:r w:rsidR="00DC0784">
              <w:rPr>
                <w:rFonts w:ascii="Times New Roman" w:hAnsi="Times New Roman" w:cs="Times New Roman"/>
                <w:sz w:val="24"/>
                <w:szCs w:val="24"/>
              </w:rPr>
              <w:t>2</w:t>
            </w:r>
            <w:r>
              <w:rPr>
                <w:rFonts w:ascii="Times New Roman" w:hAnsi="Times New Roman" w:cs="Times New Roman"/>
                <w:sz w:val="24"/>
                <w:szCs w:val="24"/>
              </w:rPr>
              <w:t>.</w:t>
            </w:r>
            <w:r w:rsidR="003A602C">
              <w:rPr>
                <w:rFonts w:ascii="Times New Roman" w:hAnsi="Times New Roman" w:cs="Times New Roman"/>
                <w:sz w:val="24"/>
                <w:szCs w:val="24"/>
              </w:rPr>
              <w:t>25</w:t>
            </w:r>
          </w:p>
        </w:tc>
        <w:tc>
          <w:tcPr>
            <w:tcW w:w="9327" w:type="dxa"/>
          </w:tcPr>
          <w:p w14:paraId="25A40868" w14:textId="77777777" w:rsidR="00A93E87" w:rsidRPr="000B1F2A" w:rsidRDefault="00A93E87" w:rsidP="00A93E87">
            <w:pPr>
              <w:spacing w:line="360" w:lineRule="auto"/>
              <w:jc w:val="both"/>
              <w:rPr>
                <w:rFonts w:ascii="Times New Roman" w:eastAsia="Calibri" w:hAnsi="Times New Roman" w:cs="Times New Roman"/>
                <w:b/>
                <w:bCs/>
                <w:sz w:val="24"/>
                <w:lang w:val="ru-RU"/>
              </w:rPr>
            </w:pPr>
            <w:r w:rsidRPr="000B1F2A">
              <w:rPr>
                <w:rFonts w:ascii="Times New Roman" w:eastAsia="Calibri" w:hAnsi="Times New Roman" w:cs="Times New Roman"/>
                <w:b/>
                <w:bCs/>
                <w:sz w:val="24"/>
              </w:rPr>
              <w:t xml:space="preserve">Ieva </w:t>
            </w:r>
            <w:proofErr w:type="spellStart"/>
            <w:r w:rsidRPr="000B1F2A">
              <w:rPr>
                <w:rFonts w:ascii="Times New Roman" w:eastAsia="Calibri" w:hAnsi="Times New Roman" w:cs="Times New Roman"/>
                <w:b/>
                <w:bCs/>
                <w:sz w:val="24"/>
              </w:rPr>
              <w:t>Tomaševičiūtė</w:t>
            </w:r>
            <w:proofErr w:type="spellEnd"/>
            <w:r w:rsidRPr="000B1F2A">
              <w:rPr>
                <w:rFonts w:ascii="Times New Roman" w:eastAsia="Calibri" w:hAnsi="Times New Roman" w:cs="Times New Roman"/>
                <w:b/>
                <w:bCs/>
                <w:sz w:val="24"/>
              </w:rPr>
              <w:t xml:space="preserve"> (Semiotika </w:t>
            </w:r>
            <w:r w:rsidRPr="000B1F2A">
              <w:rPr>
                <w:rFonts w:ascii="Times New Roman" w:eastAsia="Calibri" w:hAnsi="Times New Roman" w:cs="Times New Roman"/>
                <w:b/>
                <w:bCs/>
                <w:sz w:val="24"/>
                <w:szCs w:val="24"/>
              </w:rPr>
              <w:t>MA II kursas</w:t>
            </w:r>
            <w:r w:rsidRPr="000B1F2A">
              <w:rPr>
                <w:rFonts w:ascii="Times New Roman" w:eastAsia="Calibri" w:hAnsi="Times New Roman" w:cs="Times New Roman"/>
                <w:b/>
                <w:bCs/>
                <w:sz w:val="24"/>
              </w:rPr>
              <w:t>) </w:t>
            </w:r>
          </w:p>
          <w:p w14:paraId="018B2C93" w14:textId="77777777" w:rsidR="001008DB" w:rsidRPr="000B1F2A" w:rsidRDefault="00A93E87" w:rsidP="00A93E87">
            <w:pPr>
              <w:spacing w:line="360" w:lineRule="auto"/>
              <w:jc w:val="both"/>
              <w:rPr>
                <w:rFonts w:ascii="Times New Roman" w:eastAsia="Calibri" w:hAnsi="Times New Roman" w:cs="Times New Roman"/>
                <w:b/>
                <w:bCs/>
                <w:i/>
                <w:sz w:val="24"/>
              </w:rPr>
            </w:pPr>
            <w:r w:rsidRPr="000B1F2A">
              <w:rPr>
                <w:rFonts w:ascii="Times New Roman" w:eastAsia="Calibri" w:hAnsi="Times New Roman" w:cs="Times New Roman"/>
                <w:b/>
                <w:bCs/>
                <w:i/>
                <w:sz w:val="24"/>
              </w:rPr>
              <w:t>Kultūros atmintis semiotiniu aspektu</w:t>
            </w:r>
          </w:p>
          <w:p w14:paraId="0A244D2F" w14:textId="3DB01BCF" w:rsidR="00B6455A" w:rsidRPr="00B6455A" w:rsidRDefault="004A5109" w:rsidP="00B6455A">
            <w:pPr>
              <w:jc w:val="both"/>
              <w:rPr>
                <w:rFonts w:ascii="Times New Roman" w:eastAsia="Calibri" w:hAnsi="Times New Roman" w:cs="Times New Roman"/>
              </w:rPr>
            </w:pPr>
            <w:r w:rsidRPr="004A5109">
              <w:rPr>
                <w:rFonts w:ascii="Times New Roman" w:eastAsia="Calibri" w:hAnsi="Times New Roman" w:cs="Times New Roman"/>
              </w:rPr>
              <w:t xml:space="preserve">Pranešime bus pristatoma magistrinio darbo "Reikšmių dinamika Jurijaus </w:t>
            </w:r>
            <w:proofErr w:type="spellStart"/>
            <w:r w:rsidRPr="004A5109">
              <w:rPr>
                <w:rFonts w:ascii="Times New Roman" w:eastAsia="Calibri" w:hAnsi="Times New Roman" w:cs="Times New Roman"/>
              </w:rPr>
              <w:t>Lotmano</w:t>
            </w:r>
            <w:proofErr w:type="spellEnd"/>
            <w:r w:rsidRPr="004A5109">
              <w:rPr>
                <w:rFonts w:ascii="Times New Roman" w:eastAsia="Calibri" w:hAnsi="Times New Roman" w:cs="Times New Roman"/>
              </w:rPr>
              <w:t xml:space="preserve"> kultūros atminties mechanizme" darbo dalis, kurioje aptariama kultūros atminties problematika ir galimybės nagrinėti procesus, kai kultūros atmintis tampa nevienalyte</w:t>
            </w:r>
            <w:r>
              <w:rPr>
                <w:rFonts w:ascii="Times New Roman" w:eastAsia="Calibri" w:hAnsi="Times New Roman" w:cs="Times New Roman"/>
              </w:rPr>
              <w:t>.</w:t>
            </w:r>
          </w:p>
        </w:tc>
      </w:tr>
      <w:tr w:rsidR="001008DB" w:rsidRPr="002B1880" w14:paraId="0A686134" w14:textId="77777777" w:rsidTr="006A7CB9">
        <w:tc>
          <w:tcPr>
            <w:tcW w:w="880" w:type="dxa"/>
            <w:vAlign w:val="center"/>
          </w:tcPr>
          <w:p w14:paraId="1432010A" w14:textId="12BA2317" w:rsidR="001008DB" w:rsidRPr="000B1F2A" w:rsidRDefault="001008DB" w:rsidP="001008DB">
            <w:pPr>
              <w:spacing w:after="120"/>
              <w:jc w:val="both"/>
              <w:rPr>
                <w:rFonts w:ascii="Times New Roman" w:hAnsi="Times New Roman" w:cs="Times New Roman"/>
                <w:b/>
                <w:bCs/>
                <w:sz w:val="24"/>
                <w:szCs w:val="24"/>
              </w:rPr>
            </w:pPr>
            <w:r w:rsidRPr="000B1F2A">
              <w:rPr>
                <w:rFonts w:ascii="Times New Roman" w:hAnsi="Times New Roman" w:cs="Times New Roman"/>
                <w:b/>
                <w:bCs/>
                <w:sz w:val="24"/>
                <w:szCs w:val="24"/>
              </w:rPr>
              <w:t>1</w:t>
            </w:r>
            <w:r w:rsidR="00DC0784" w:rsidRPr="000B1F2A">
              <w:rPr>
                <w:rFonts w:ascii="Times New Roman" w:hAnsi="Times New Roman" w:cs="Times New Roman"/>
                <w:b/>
                <w:bCs/>
                <w:sz w:val="24"/>
                <w:szCs w:val="24"/>
              </w:rPr>
              <w:t>2</w:t>
            </w:r>
            <w:r w:rsidRPr="000B1F2A">
              <w:rPr>
                <w:rFonts w:ascii="Times New Roman" w:hAnsi="Times New Roman" w:cs="Times New Roman"/>
                <w:b/>
                <w:bCs/>
                <w:sz w:val="24"/>
                <w:szCs w:val="24"/>
              </w:rPr>
              <w:t>.</w:t>
            </w:r>
            <w:r w:rsidR="00DC0784" w:rsidRPr="000B1F2A">
              <w:rPr>
                <w:rFonts w:ascii="Times New Roman" w:hAnsi="Times New Roman" w:cs="Times New Roman"/>
                <w:b/>
                <w:bCs/>
                <w:sz w:val="24"/>
                <w:szCs w:val="24"/>
              </w:rPr>
              <w:t>5</w:t>
            </w:r>
            <w:r w:rsidR="003A602C" w:rsidRPr="000B1F2A">
              <w:rPr>
                <w:rFonts w:ascii="Times New Roman" w:hAnsi="Times New Roman" w:cs="Times New Roman"/>
                <w:b/>
                <w:bCs/>
                <w:sz w:val="24"/>
                <w:szCs w:val="24"/>
              </w:rPr>
              <w:t>0</w:t>
            </w:r>
          </w:p>
        </w:tc>
        <w:tc>
          <w:tcPr>
            <w:tcW w:w="9327" w:type="dxa"/>
          </w:tcPr>
          <w:p w14:paraId="0F249B59" w14:textId="2D99961A" w:rsidR="001008DB" w:rsidRPr="000B1F2A" w:rsidRDefault="00DC0784" w:rsidP="001008DB">
            <w:pPr>
              <w:spacing w:line="360" w:lineRule="auto"/>
              <w:jc w:val="both"/>
              <w:rPr>
                <w:rFonts w:ascii="Times New Roman" w:eastAsia="Calibri" w:hAnsi="Times New Roman" w:cs="Times New Roman"/>
                <w:b/>
                <w:bCs/>
                <w:i/>
                <w:iCs/>
                <w:sz w:val="24"/>
                <w:szCs w:val="24"/>
              </w:rPr>
            </w:pPr>
            <w:r w:rsidRPr="000B1F2A">
              <w:rPr>
                <w:rFonts w:ascii="Times New Roman" w:hAnsi="Times New Roman" w:cs="Times New Roman"/>
                <w:b/>
                <w:bCs/>
                <w:i/>
                <w:iCs/>
                <w:sz w:val="24"/>
                <w:szCs w:val="24"/>
              </w:rPr>
              <w:t>Konferencijos uždarymas</w:t>
            </w:r>
          </w:p>
        </w:tc>
      </w:tr>
    </w:tbl>
    <w:p w14:paraId="798BACE1" w14:textId="66D9A7EE" w:rsidR="003D102E" w:rsidRDefault="003D102E" w:rsidP="003711B3">
      <w:pPr>
        <w:spacing w:after="120" w:line="240" w:lineRule="auto"/>
        <w:ind w:left="2592" w:firstLine="1296"/>
        <w:jc w:val="both"/>
        <w:rPr>
          <w:rFonts w:ascii="Times New Roman" w:hAnsi="Times New Roman" w:cs="Times New Roman"/>
          <w:sz w:val="24"/>
          <w:szCs w:val="24"/>
        </w:rPr>
      </w:pPr>
    </w:p>
    <w:p w14:paraId="470C39DD" w14:textId="77777777" w:rsidR="00A823A9" w:rsidRPr="002B1880" w:rsidRDefault="00A823A9" w:rsidP="003711B3">
      <w:pPr>
        <w:spacing w:after="120" w:line="240" w:lineRule="auto"/>
        <w:ind w:left="2592" w:firstLine="1296"/>
        <w:jc w:val="both"/>
        <w:rPr>
          <w:rFonts w:ascii="Times New Roman" w:hAnsi="Times New Roman" w:cs="Times New Roman"/>
          <w:sz w:val="24"/>
          <w:szCs w:val="24"/>
        </w:rPr>
      </w:pPr>
    </w:p>
    <w:sectPr w:rsidR="00A823A9" w:rsidRPr="002B1880" w:rsidSect="00907107">
      <w:pgSz w:w="11906" w:h="16838"/>
      <w:pgMar w:top="993"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68"/>
    <w:rsid w:val="00004DA9"/>
    <w:rsid w:val="000120A7"/>
    <w:rsid w:val="00037CA5"/>
    <w:rsid w:val="00043E10"/>
    <w:rsid w:val="00052E15"/>
    <w:rsid w:val="0006502A"/>
    <w:rsid w:val="000864CB"/>
    <w:rsid w:val="000A725B"/>
    <w:rsid w:val="000B1F2A"/>
    <w:rsid w:val="000D3517"/>
    <w:rsid w:val="000D743A"/>
    <w:rsid w:val="001008DB"/>
    <w:rsid w:val="00137894"/>
    <w:rsid w:val="00155B62"/>
    <w:rsid w:val="0016365B"/>
    <w:rsid w:val="00166FAF"/>
    <w:rsid w:val="00177D3D"/>
    <w:rsid w:val="001A17B9"/>
    <w:rsid w:val="001B0C07"/>
    <w:rsid w:val="001B4DCA"/>
    <w:rsid w:val="001D5305"/>
    <w:rsid w:val="001F61A5"/>
    <w:rsid w:val="00224193"/>
    <w:rsid w:val="00224820"/>
    <w:rsid w:val="00226A5A"/>
    <w:rsid w:val="00227AC0"/>
    <w:rsid w:val="00237E3D"/>
    <w:rsid w:val="0026330D"/>
    <w:rsid w:val="002678BF"/>
    <w:rsid w:val="002705DD"/>
    <w:rsid w:val="002746B8"/>
    <w:rsid w:val="00281A9B"/>
    <w:rsid w:val="00290C97"/>
    <w:rsid w:val="002916B8"/>
    <w:rsid w:val="002B1880"/>
    <w:rsid w:val="002B35C4"/>
    <w:rsid w:val="002C72CB"/>
    <w:rsid w:val="0031699F"/>
    <w:rsid w:val="00321955"/>
    <w:rsid w:val="0032627E"/>
    <w:rsid w:val="0034066A"/>
    <w:rsid w:val="0034359D"/>
    <w:rsid w:val="00353789"/>
    <w:rsid w:val="00354238"/>
    <w:rsid w:val="00360486"/>
    <w:rsid w:val="003711B3"/>
    <w:rsid w:val="00380DDA"/>
    <w:rsid w:val="00391F8B"/>
    <w:rsid w:val="003A602C"/>
    <w:rsid w:val="003C7A84"/>
    <w:rsid w:val="003D102E"/>
    <w:rsid w:val="003D4AF6"/>
    <w:rsid w:val="003E3AD2"/>
    <w:rsid w:val="003E5382"/>
    <w:rsid w:val="004006D4"/>
    <w:rsid w:val="00403B3F"/>
    <w:rsid w:val="004210DD"/>
    <w:rsid w:val="00422EDE"/>
    <w:rsid w:val="004506A6"/>
    <w:rsid w:val="00464C0B"/>
    <w:rsid w:val="004A5109"/>
    <w:rsid w:val="004B5F1C"/>
    <w:rsid w:val="004B68BF"/>
    <w:rsid w:val="004C076C"/>
    <w:rsid w:val="004C68D1"/>
    <w:rsid w:val="004D20B7"/>
    <w:rsid w:val="004D4E7A"/>
    <w:rsid w:val="004E72F8"/>
    <w:rsid w:val="00507E2D"/>
    <w:rsid w:val="00541CF1"/>
    <w:rsid w:val="0055170A"/>
    <w:rsid w:val="00581AF0"/>
    <w:rsid w:val="00582113"/>
    <w:rsid w:val="00587BE9"/>
    <w:rsid w:val="005A1523"/>
    <w:rsid w:val="005B25EE"/>
    <w:rsid w:val="005B6073"/>
    <w:rsid w:val="005B78A4"/>
    <w:rsid w:val="005D6668"/>
    <w:rsid w:val="0060027D"/>
    <w:rsid w:val="0060192E"/>
    <w:rsid w:val="006058A3"/>
    <w:rsid w:val="00606DF6"/>
    <w:rsid w:val="0065139D"/>
    <w:rsid w:val="0067777E"/>
    <w:rsid w:val="006A23E2"/>
    <w:rsid w:val="006A4F8B"/>
    <w:rsid w:val="006A7CB9"/>
    <w:rsid w:val="006B3BBA"/>
    <w:rsid w:val="006E64E1"/>
    <w:rsid w:val="00711BAC"/>
    <w:rsid w:val="00727AA1"/>
    <w:rsid w:val="00731B5A"/>
    <w:rsid w:val="007368E9"/>
    <w:rsid w:val="00747EF4"/>
    <w:rsid w:val="00760FEF"/>
    <w:rsid w:val="007837E6"/>
    <w:rsid w:val="00786532"/>
    <w:rsid w:val="007871FA"/>
    <w:rsid w:val="007C0FF4"/>
    <w:rsid w:val="007D1C08"/>
    <w:rsid w:val="007F0F74"/>
    <w:rsid w:val="007F2D29"/>
    <w:rsid w:val="00820ACC"/>
    <w:rsid w:val="00823524"/>
    <w:rsid w:val="00830A00"/>
    <w:rsid w:val="00836C09"/>
    <w:rsid w:val="008400FB"/>
    <w:rsid w:val="00851672"/>
    <w:rsid w:val="00857DC2"/>
    <w:rsid w:val="00883768"/>
    <w:rsid w:val="00884F27"/>
    <w:rsid w:val="008A7421"/>
    <w:rsid w:val="008C6BBE"/>
    <w:rsid w:val="008D3A2A"/>
    <w:rsid w:val="00905114"/>
    <w:rsid w:val="009060D1"/>
    <w:rsid w:val="00907107"/>
    <w:rsid w:val="009265EF"/>
    <w:rsid w:val="00926EA8"/>
    <w:rsid w:val="009626A3"/>
    <w:rsid w:val="00973481"/>
    <w:rsid w:val="009A51D2"/>
    <w:rsid w:val="009B1100"/>
    <w:rsid w:val="009D5D1C"/>
    <w:rsid w:val="009E6DC5"/>
    <w:rsid w:val="009F09FD"/>
    <w:rsid w:val="009F336B"/>
    <w:rsid w:val="00A00756"/>
    <w:rsid w:val="00A04399"/>
    <w:rsid w:val="00A277BC"/>
    <w:rsid w:val="00A27F15"/>
    <w:rsid w:val="00A31877"/>
    <w:rsid w:val="00A347BF"/>
    <w:rsid w:val="00A4785B"/>
    <w:rsid w:val="00A76E13"/>
    <w:rsid w:val="00A823A9"/>
    <w:rsid w:val="00A926F0"/>
    <w:rsid w:val="00A93E87"/>
    <w:rsid w:val="00AA4A8A"/>
    <w:rsid w:val="00AB3662"/>
    <w:rsid w:val="00AE3B2A"/>
    <w:rsid w:val="00B02364"/>
    <w:rsid w:val="00B04A59"/>
    <w:rsid w:val="00B40B57"/>
    <w:rsid w:val="00B63A30"/>
    <w:rsid w:val="00B6455A"/>
    <w:rsid w:val="00BB3689"/>
    <w:rsid w:val="00C0054A"/>
    <w:rsid w:val="00C325A9"/>
    <w:rsid w:val="00C535E3"/>
    <w:rsid w:val="00C750A5"/>
    <w:rsid w:val="00C7730F"/>
    <w:rsid w:val="00C83EC2"/>
    <w:rsid w:val="00C91CC0"/>
    <w:rsid w:val="00C95846"/>
    <w:rsid w:val="00CB5C8A"/>
    <w:rsid w:val="00CB5D72"/>
    <w:rsid w:val="00CD0804"/>
    <w:rsid w:val="00CE0BCF"/>
    <w:rsid w:val="00CE1D46"/>
    <w:rsid w:val="00CE33EE"/>
    <w:rsid w:val="00D01314"/>
    <w:rsid w:val="00D11A97"/>
    <w:rsid w:val="00D2006A"/>
    <w:rsid w:val="00D44299"/>
    <w:rsid w:val="00D46F4C"/>
    <w:rsid w:val="00D50823"/>
    <w:rsid w:val="00D7183B"/>
    <w:rsid w:val="00D777D3"/>
    <w:rsid w:val="00DC0784"/>
    <w:rsid w:val="00DC5E40"/>
    <w:rsid w:val="00DD718C"/>
    <w:rsid w:val="00DF7E57"/>
    <w:rsid w:val="00E0597C"/>
    <w:rsid w:val="00E079F7"/>
    <w:rsid w:val="00E32233"/>
    <w:rsid w:val="00E33E02"/>
    <w:rsid w:val="00E361C3"/>
    <w:rsid w:val="00E45E82"/>
    <w:rsid w:val="00E50555"/>
    <w:rsid w:val="00E57301"/>
    <w:rsid w:val="00E66AB8"/>
    <w:rsid w:val="00E75EB5"/>
    <w:rsid w:val="00E8266F"/>
    <w:rsid w:val="00E90856"/>
    <w:rsid w:val="00EA025D"/>
    <w:rsid w:val="00EA5973"/>
    <w:rsid w:val="00EB1039"/>
    <w:rsid w:val="00EF07FD"/>
    <w:rsid w:val="00F172E2"/>
    <w:rsid w:val="00F31D0D"/>
    <w:rsid w:val="00F34CCE"/>
    <w:rsid w:val="00F35085"/>
    <w:rsid w:val="00F64A45"/>
    <w:rsid w:val="00F7136C"/>
    <w:rsid w:val="00F844C7"/>
    <w:rsid w:val="00F876E5"/>
    <w:rsid w:val="00FA4BF1"/>
    <w:rsid w:val="00FE5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2775"/>
  <w15:docId w15:val="{820D51D1-6986-4D93-B28A-3AABAD76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C3"/>
    <w:rPr>
      <w:rFonts w:ascii="Tahoma" w:hAnsi="Tahoma" w:cs="Tahoma"/>
      <w:sz w:val="16"/>
      <w:szCs w:val="16"/>
    </w:rPr>
  </w:style>
  <w:style w:type="paragraph" w:styleId="NormalWeb">
    <w:name w:val="Normal (Web)"/>
    <w:basedOn w:val="Normal"/>
    <w:uiPriority w:val="99"/>
    <w:unhideWhenUsed/>
    <w:rsid w:val="00727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7837E6"/>
    <w:pPr>
      <w:spacing w:after="0" w:line="360" w:lineRule="auto"/>
      <w:ind w:firstLine="720"/>
      <w:jc w:val="both"/>
    </w:pPr>
    <w:rPr>
      <w:rFonts w:ascii="Calibri" w:eastAsia="Arial Unicode MS" w:hAnsi="Calibri" w:cs="Arial Unicode MS"/>
      <w:color w:val="00000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8599">
      <w:bodyDiv w:val="1"/>
      <w:marLeft w:val="0"/>
      <w:marRight w:val="0"/>
      <w:marTop w:val="0"/>
      <w:marBottom w:val="0"/>
      <w:divBdr>
        <w:top w:val="none" w:sz="0" w:space="0" w:color="auto"/>
        <w:left w:val="none" w:sz="0" w:space="0" w:color="auto"/>
        <w:bottom w:val="none" w:sz="0" w:space="0" w:color="auto"/>
        <w:right w:val="none" w:sz="0" w:space="0" w:color="auto"/>
      </w:divBdr>
    </w:div>
    <w:div w:id="126974550">
      <w:bodyDiv w:val="1"/>
      <w:marLeft w:val="0"/>
      <w:marRight w:val="0"/>
      <w:marTop w:val="0"/>
      <w:marBottom w:val="0"/>
      <w:divBdr>
        <w:top w:val="none" w:sz="0" w:space="0" w:color="auto"/>
        <w:left w:val="none" w:sz="0" w:space="0" w:color="auto"/>
        <w:bottom w:val="none" w:sz="0" w:space="0" w:color="auto"/>
        <w:right w:val="none" w:sz="0" w:space="0" w:color="auto"/>
      </w:divBdr>
    </w:div>
    <w:div w:id="207841968">
      <w:bodyDiv w:val="1"/>
      <w:marLeft w:val="0"/>
      <w:marRight w:val="0"/>
      <w:marTop w:val="0"/>
      <w:marBottom w:val="0"/>
      <w:divBdr>
        <w:top w:val="none" w:sz="0" w:space="0" w:color="auto"/>
        <w:left w:val="none" w:sz="0" w:space="0" w:color="auto"/>
        <w:bottom w:val="none" w:sz="0" w:space="0" w:color="auto"/>
        <w:right w:val="none" w:sz="0" w:space="0" w:color="auto"/>
      </w:divBdr>
    </w:div>
    <w:div w:id="246769105">
      <w:bodyDiv w:val="1"/>
      <w:marLeft w:val="0"/>
      <w:marRight w:val="0"/>
      <w:marTop w:val="0"/>
      <w:marBottom w:val="0"/>
      <w:divBdr>
        <w:top w:val="none" w:sz="0" w:space="0" w:color="auto"/>
        <w:left w:val="none" w:sz="0" w:space="0" w:color="auto"/>
        <w:bottom w:val="none" w:sz="0" w:space="0" w:color="auto"/>
        <w:right w:val="none" w:sz="0" w:space="0" w:color="auto"/>
      </w:divBdr>
    </w:div>
    <w:div w:id="355815310">
      <w:bodyDiv w:val="1"/>
      <w:marLeft w:val="0"/>
      <w:marRight w:val="0"/>
      <w:marTop w:val="0"/>
      <w:marBottom w:val="0"/>
      <w:divBdr>
        <w:top w:val="none" w:sz="0" w:space="0" w:color="auto"/>
        <w:left w:val="none" w:sz="0" w:space="0" w:color="auto"/>
        <w:bottom w:val="none" w:sz="0" w:space="0" w:color="auto"/>
        <w:right w:val="none" w:sz="0" w:space="0" w:color="auto"/>
      </w:divBdr>
    </w:div>
    <w:div w:id="578447579">
      <w:bodyDiv w:val="1"/>
      <w:marLeft w:val="0"/>
      <w:marRight w:val="0"/>
      <w:marTop w:val="0"/>
      <w:marBottom w:val="0"/>
      <w:divBdr>
        <w:top w:val="none" w:sz="0" w:space="0" w:color="auto"/>
        <w:left w:val="none" w:sz="0" w:space="0" w:color="auto"/>
        <w:bottom w:val="none" w:sz="0" w:space="0" w:color="auto"/>
        <w:right w:val="none" w:sz="0" w:space="0" w:color="auto"/>
      </w:divBdr>
    </w:div>
    <w:div w:id="1104422706">
      <w:bodyDiv w:val="1"/>
      <w:marLeft w:val="0"/>
      <w:marRight w:val="0"/>
      <w:marTop w:val="0"/>
      <w:marBottom w:val="0"/>
      <w:divBdr>
        <w:top w:val="none" w:sz="0" w:space="0" w:color="auto"/>
        <w:left w:val="none" w:sz="0" w:space="0" w:color="auto"/>
        <w:bottom w:val="none" w:sz="0" w:space="0" w:color="auto"/>
        <w:right w:val="none" w:sz="0" w:space="0" w:color="auto"/>
      </w:divBdr>
    </w:div>
    <w:div w:id="1112018395">
      <w:bodyDiv w:val="1"/>
      <w:marLeft w:val="0"/>
      <w:marRight w:val="0"/>
      <w:marTop w:val="0"/>
      <w:marBottom w:val="0"/>
      <w:divBdr>
        <w:top w:val="none" w:sz="0" w:space="0" w:color="auto"/>
        <w:left w:val="none" w:sz="0" w:space="0" w:color="auto"/>
        <w:bottom w:val="none" w:sz="0" w:space="0" w:color="auto"/>
        <w:right w:val="none" w:sz="0" w:space="0" w:color="auto"/>
      </w:divBdr>
    </w:div>
    <w:div w:id="1127745303">
      <w:bodyDiv w:val="1"/>
      <w:marLeft w:val="0"/>
      <w:marRight w:val="0"/>
      <w:marTop w:val="0"/>
      <w:marBottom w:val="0"/>
      <w:divBdr>
        <w:top w:val="none" w:sz="0" w:space="0" w:color="auto"/>
        <w:left w:val="none" w:sz="0" w:space="0" w:color="auto"/>
        <w:bottom w:val="none" w:sz="0" w:space="0" w:color="auto"/>
        <w:right w:val="none" w:sz="0" w:space="0" w:color="auto"/>
      </w:divBdr>
    </w:div>
    <w:div w:id="1207402349">
      <w:bodyDiv w:val="1"/>
      <w:marLeft w:val="0"/>
      <w:marRight w:val="0"/>
      <w:marTop w:val="0"/>
      <w:marBottom w:val="0"/>
      <w:divBdr>
        <w:top w:val="none" w:sz="0" w:space="0" w:color="auto"/>
        <w:left w:val="none" w:sz="0" w:space="0" w:color="auto"/>
        <w:bottom w:val="none" w:sz="0" w:space="0" w:color="auto"/>
        <w:right w:val="none" w:sz="0" w:space="0" w:color="auto"/>
      </w:divBdr>
    </w:div>
    <w:div w:id="1407024397">
      <w:bodyDiv w:val="1"/>
      <w:marLeft w:val="0"/>
      <w:marRight w:val="0"/>
      <w:marTop w:val="0"/>
      <w:marBottom w:val="0"/>
      <w:divBdr>
        <w:top w:val="none" w:sz="0" w:space="0" w:color="auto"/>
        <w:left w:val="none" w:sz="0" w:space="0" w:color="auto"/>
        <w:bottom w:val="none" w:sz="0" w:space="0" w:color="auto"/>
        <w:right w:val="none" w:sz="0" w:space="0" w:color="auto"/>
      </w:divBdr>
    </w:div>
    <w:div w:id="1824732907">
      <w:bodyDiv w:val="1"/>
      <w:marLeft w:val="0"/>
      <w:marRight w:val="0"/>
      <w:marTop w:val="0"/>
      <w:marBottom w:val="0"/>
      <w:divBdr>
        <w:top w:val="none" w:sz="0" w:space="0" w:color="auto"/>
        <w:left w:val="none" w:sz="0" w:space="0" w:color="auto"/>
        <w:bottom w:val="none" w:sz="0" w:space="0" w:color="auto"/>
        <w:right w:val="none" w:sz="0" w:space="0" w:color="auto"/>
      </w:divBdr>
    </w:div>
    <w:div w:id="18292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1545</Words>
  <Characters>8813</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Ligija Kaminskienė</dc:creator>
  <cp:lastModifiedBy>Dalia Mankauskienė</cp:lastModifiedBy>
  <cp:revision>12</cp:revision>
  <cp:lastPrinted>2016-05-04T08:07:00Z</cp:lastPrinted>
  <dcterms:created xsi:type="dcterms:W3CDTF">2022-04-28T11:19:00Z</dcterms:created>
  <dcterms:modified xsi:type="dcterms:W3CDTF">2022-04-28T11:26:00Z</dcterms:modified>
</cp:coreProperties>
</file>